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D017" w14:textId="77777777" w:rsidR="00D96EBD" w:rsidRDefault="00300125" w:rsidP="007F10D2">
      <w:pPr>
        <w:tabs>
          <w:tab w:val="left" w:pos="1155"/>
        </w:tabs>
        <w:rPr>
          <w:rFonts w:eastAsia="Times New Roman" w:cs="Times New Roman"/>
          <w:sz w:val="24"/>
          <w:szCs w:val="24"/>
        </w:rPr>
      </w:pPr>
      <w:r>
        <w:rPr>
          <w:rFonts w:eastAsia="Times New Roman" w:cs="Times New Roman"/>
          <w:sz w:val="24"/>
          <w:szCs w:val="24"/>
        </w:rPr>
        <w:t xml:space="preserve">  </w:t>
      </w:r>
      <w:r w:rsidR="007F10D2">
        <w:rPr>
          <w:rFonts w:eastAsia="Times New Roman" w:cs="Times New Roman"/>
          <w:sz w:val="24"/>
          <w:szCs w:val="24"/>
        </w:rPr>
        <w:tab/>
      </w:r>
    </w:p>
    <w:p w14:paraId="4A19EF13" w14:textId="77777777" w:rsidR="007F10D2" w:rsidRDefault="007F10D2" w:rsidP="007F10D2">
      <w:pPr>
        <w:tabs>
          <w:tab w:val="left" w:pos="1155"/>
        </w:tabs>
        <w:rPr>
          <w:rFonts w:eastAsia="Times New Roman" w:cs="Times New Roman"/>
          <w:sz w:val="24"/>
          <w:szCs w:val="24"/>
        </w:rPr>
      </w:pPr>
    </w:p>
    <w:p w14:paraId="5FF59B3F" w14:textId="77777777" w:rsidR="007F10D2" w:rsidRDefault="007F10D2" w:rsidP="007F10D2">
      <w:pPr>
        <w:tabs>
          <w:tab w:val="left" w:pos="1155"/>
        </w:tabs>
        <w:rPr>
          <w:rFonts w:eastAsia="Times New Roman" w:cs="Times New Roman"/>
          <w:sz w:val="24"/>
          <w:szCs w:val="24"/>
        </w:rPr>
      </w:pPr>
    </w:p>
    <w:p w14:paraId="6C519694" w14:textId="77777777" w:rsidR="007F10D2" w:rsidRDefault="007F10D2" w:rsidP="007F10D2">
      <w:pPr>
        <w:tabs>
          <w:tab w:val="left" w:pos="1155"/>
        </w:tabs>
        <w:rPr>
          <w:rFonts w:eastAsia="Times New Roman" w:cs="Times New Roman"/>
          <w:sz w:val="24"/>
          <w:szCs w:val="24"/>
        </w:rPr>
      </w:pPr>
    </w:p>
    <w:p w14:paraId="110A8BAD" w14:textId="77777777" w:rsidR="007F10D2" w:rsidRDefault="007F10D2" w:rsidP="007F10D2">
      <w:pPr>
        <w:tabs>
          <w:tab w:val="left" w:pos="1155"/>
        </w:tabs>
        <w:rPr>
          <w:rFonts w:eastAsia="Times New Roman" w:cs="Times New Roman"/>
          <w:sz w:val="24"/>
          <w:szCs w:val="24"/>
        </w:rPr>
      </w:pPr>
    </w:p>
    <w:p w14:paraId="5C9D3281" w14:textId="698ED8E6" w:rsidR="007F10D2" w:rsidRDefault="007F10D2" w:rsidP="007F10D2">
      <w:pPr>
        <w:tabs>
          <w:tab w:val="left" w:pos="1155"/>
        </w:tabs>
        <w:rPr>
          <w:rFonts w:eastAsia="Times New Roman" w:cs="Times New Roman"/>
          <w:sz w:val="24"/>
          <w:szCs w:val="24"/>
        </w:rPr>
      </w:pPr>
    </w:p>
    <w:p w14:paraId="15A763B8" w14:textId="5567BA57" w:rsidR="007F10D2" w:rsidRDefault="007B7B9B">
      <w:pPr>
        <w:rPr>
          <w:rFonts w:eastAsia="Times New Roman" w:cs="Times New Roman"/>
          <w:sz w:val="24"/>
          <w:szCs w:val="24"/>
        </w:rPr>
      </w:pPr>
      <w:r>
        <w:rPr>
          <w:rFonts w:ascii="Arial" w:hAnsi="Arial" w:cs="Arial"/>
          <w:noProof/>
          <w:sz w:val="36"/>
          <w:szCs w:val="36"/>
        </w:rPr>
        <mc:AlternateContent>
          <mc:Choice Requires="wps">
            <w:drawing>
              <wp:anchor distT="0" distB="0" distL="114300" distR="114300" simplePos="0" relativeHeight="251660288" behindDoc="0" locked="0" layoutInCell="1" allowOverlap="1" wp14:anchorId="01372D78" wp14:editId="6EE35073">
                <wp:simplePos x="0" y="0"/>
                <wp:positionH relativeFrom="column">
                  <wp:posOffset>-165588</wp:posOffset>
                </wp:positionH>
                <wp:positionV relativeFrom="paragraph">
                  <wp:posOffset>65942</wp:posOffset>
                </wp:positionV>
                <wp:extent cx="19050" cy="2809875"/>
                <wp:effectExtent l="19050" t="19050" r="19050" b="2857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09875"/>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DF331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2pt" to="-11.5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" strokecolor="#00b0f0" strokeweight="2.5pt">
                <o:lock v:ext="edit" shapetype="f"/>
              </v:line>
            </w:pict>
          </mc:Fallback>
        </mc:AlternateContent>
      </w:r>
    </w:p>
    <w:p w14:paraId="51A9500D" w14:textId="3AA7E0CC" w:rsidR="007F10D2" w:rsidRPr="007B7B9B" w:rsidRDefault="00300125" w:rsidP="007F10D2">
      <w:pPr>
        <w:rPr>
          <w:rFonts w:ascii="Arial" w:hAnsi="Arial" w:cs="Arial"/>
          <w:sz w:val="32"/>
          <w:szCs w:val="32"/>
        </w:rPr>
      </w:pPr>
      <w:r>
        <w:rPr>
          <w:rFonts w:eastAsia="Times New Roman" w:cs="Times New Roman"/>
          <w:sz w:val="24"/>
          <w:szCs w:val="24"/>
        </w:rPr>
        <w:br/>
      </w:r>
      <w:r w:rsidR="007F10D2" w:rsidRPr="007B7B9B">
        <w:rPr>
          <w:rFonts w:ascii="Arial" w:hAnsi="Arial" w:cs="Arial"/>
          <w:sz w:val="32"/>
          <w:szCs w:val="32"/>
        </w:rPr>
        <w:t>UTAH DIVISION OF AIR QUALITY</w:t>
      </w:r>
    </w:p>
    <w:p w14:paraId="6770E421" w14:textId="18E147E1" w:rsidR="007F10D2" w:rsidRPr="007B7B9B" w:rsidRDefault="000862D9" w:rsidP="007F10D2">
      <w:pPr>
        <w:rPr>
          <w:rFonts w:ascii="Arial" w:hAnsi="Arial" w:cs="Arial"/>
          <w:sz w:val="56"/>
          <w:szCs w:val="56"/>
        </w:rPr>
      </w:pPr>
      <w:r w:rsidRPr="007B7B9B">
        <w:rPr>
          <w:rFonts w:ascii="Arial" w:hAnsi="Arial" w:cs="Arial"/>
          <w:sz w:val="56"/>
          <w:szCs w:val="56"/>
        </w:rPr>
        <w:t>Marginal Ozone Inventory</w:t>
      </w:r>
    </w:p>
    <w:p w14:paraId="417FD0E5" w14:textId="4E4A91EC" w:rsidR="007F10D2" w:rsidRPr="007B7B9B" w:rsidRDefault="00C901D4" w:rsidP="007F10D2">
      <w:pPr>
        <w:rPr>
          <w:rStyle w:val="BookTitle"/>
          <w:rFonts w:ascii="Arial" w:hAnsi="Arial" w:cs="Arial"/>
          <w:sz w:val="32"/>
          <w:szCs w:val="32"/>
        </w:rPr>
      </w:pPr>
      <w:proofErr w:type="spellStart"/>
      <w:r>
        <w:rPr>
          <w:rStyle w:val="BookTitle"/>
          <w:rFonts w:ascii="Arial" w:hAnsi="Arial" w:cs="Arial"/>
          <w:sz w:val="32"/>
          <w:szCs w:val="32"/>
        </w:rPr>
        <w:t>uinta</w:t>
      </w:r>
      <w:proofErr w:type="spellEnd"/>
      <w:r>
        <w:rPr>
          <w:rStyle w:val="BookTitle"/>
          <w:rFonts w:ascii="Arial" w:hAnsi="Arial" w:cs="Arial"/>
          <w:sz w:val="32"/>
          <w:szCs w:val="32"/>
        </w:rPr>
        <w:t xml:space="preserve"> basin</w:t>
      </w:r>
      <w:r w:rsidR="007F10D2" w:rsidRPr="007B7B9B">
        <w:rPr>
          <w:rStyle w:val="BookTitle"/>
          <w:rFonts w:ascii="Arial" w:hAnsi="Arial" w:cs="Arial"/>
          <w:sz w:val="32"/>
          <w:szCs w:val="32"/>
        </w:rPr>
        <w:t xml:space="preserve">, </w:t>
      </w:r>
      <w:proofErr w:type="spellStart"/>
      <w:r w:rsidR="007F10D2" w:rsidRPr="007B7B9B">
        <w:rPr>
          <w:rStyle w:val="BookTitle"/>
          <w:rFonts w:ascii="Arial" w:hAnsi="Arial" w:cs="Arial"/>
          <w:sz w:val="32"/>
          <w:szCs w:val="32"/>
        </w:rPr>
        <w:t>ut</w:t>
      </w:r>
      <w:proofErr w:type="spellEnd"/>
    </w:p>
    <w:p w14:paraId="73B10844" w14:textId="3764DCF4" w:rsidR="007F10D2" w:rsidRDefault="000862D9" w:rsidP="007F10D2">
      <w:pPr>
        <w:rPr>
          <w:rStyle w:val="BookTitle"/>
          <w:rFonts w:ascii="Arial" w:hAnsi="Arial" w:cs="Arial"/>
          <w:sz w:val="36"/>
          <w:szCs w:val="36"/>
        </w:rPr>
      </w:pPr>
      <w:proofErr w:type="spellStart"/>
      <w:r w:rsidRPr="007B7B9B">
        <w:rPr>
          <w:rStyle w:val="BookTitle"/>
          <w:rFonts w:ascii="Arial" w:hAnsi="Arial" w:cs="Arial"/>
          <w:sz w:val="32"/>
          <w:szCs w:val="32"/>
        </w:rPr>
        <w:t>june</w:t>
      </w:r>
      <w:proofErr w:type="spellEnd"/>
      <w:r w:rsidR="007F10D2" w:rsidRPr="007B7B9B">
        <w:rPr>
          <w:rStyle w:val="BookTitle"/>
          <w:rFonts w:ascii="Arial" w:hAnsi="Arial" w:cs="Arial"/>
          <w:sz w:val="32"/>
          <w:szCs w:val="32"/>
        </w:rPr>
        <w:t>, 20</w:t>
      </w:r>
      <w:r w:rsidRPr="007B7B9B">
        <w:rPr>
          <w:rStyle w:val="BookTitle"/>
          <w:rFonts w:ascii="Arial" w:hAnsi="Arial" w:cs="Arial"/>
          <w:sz w:val="32"/>
          <w:szCs w:val="32"/>
        </w:rPr>
        <w:t>20</w:t>
      </w:r>
    </w:p>
    <w:p w14:paraId="69971FA6" w14:textId="77777777" w:rsidR="007F10D2" w:rsidRPr="00247FC9" w:rsidRDefault="007F10D2" w:rsidP="007F10D2">
      <w:pPr>
        <w:rPr>
          <w:rStyle w:val="BookTitle"/>
          <w:rFonts w:ascii="Arial" w:hAnsi="Arial" w:cs="Arial"/>
          <w:b w:val="0"/>
          <w:sz w:val="36"/>
          <w:szCs w:val="36"/>
        </w:rPr>
      </w:pPr>
    </w:p>
    <w:p w14:paraId="65A60263" w14:textId="77777777" w:rsidR="007F10D2" w:rsidRDefault="007F10D2" w:rsidP="007F10D2">
      <w:pPr>
        <w:rPr>
          <w:rStyle w:val="BookTitle"/>
        </w:rPr>
      </w:pPr>
    </w:p>
    <w:p w14:paraId="2CB67D10" w14:textId="77777777" w:rsidR="007F10D2" w:rsidRDefault="007F10D2" w:rsidP="007F10D2">
      <w:pPr>
        <w:rPr>
          <w:rStyle w:val="BookTitle"/>
        </w:rPr>
      </w:pPr>
    </w:p>
    <w:p w14:paraId="6FE89445" w14:textId="77777777" w:rsidR="007F10D2" w:rsidRDefault="007F10D2" w:rsidP="007F10D2">
      <w:pPr>
        <w:rPr>
          <w:rStyle w:val="BookTitle"/>
        </w:rPr>
      </w:pPr>
    </w:p>
    <w:p w14:paraId="488D0384" w14:textId="77777777" w:rsidR="007F10D2" w:rsidRDefault="007F10D2" w:rsidP="007F10D2">
      <w:pPr>
        <w:rPr>
          <w:rStyle w:val="BookTitle"/>
        </w:rPr>
      </w:pPr>
    </w:p>
    <w:p w14:paraId="64CCC0E2" w14:textId="77777777" w:rsidR="007F10D2" w:rsidRDefault="007F10D2" w:rsidP="007F10D2"/>
    <w:p w14:paraId="1E108774" w14:textId="77777777" w:rsidR="007F10D2" w:rsidRDefault="007F10D2" w:rsidP="007F10D2"/>
    <w:p w14:paraId="7B292F73" w14:textId="77777777" w:rsidR="007F10D2" w:rsidRDefault="007F10D2" w:rsidP="007F10D2"/>
    <w:p w14:paraId="760E4576" w14:textId="18EF7A14" w:rsidR="007F10D2" w:rsidRPr="00E66495" w:rsidRDefault="007F10D2" w:rsidP="007F10D2"/>
    <w:p w14:paraId="730770B9" w14:textId="362B15D3" w:rsidR="00BA77CC" w:rsidRPr="00AF7EBD" w:rsidRDefault="00AF7EBD" w:rsidP="00AF7EBD">
      <w:pPr>
        <w:spacing w:after="240"/>
        <w:rPr>
          <w:rFonts w:eastAsia="Times New Roman" w:cs="Times New Roman"/>
          <w:sz w:val="24"/>
          <w:szCs w:val="24"/>
        </w:rPr>
      </w:pPr>
      <w:r>
        <w:rPr>
          <w:noProof/>
        </w:rPr>
        <w:drawing>
          <wp:anchor distT="0" distB="0" distL="114300" distR="114300" simplePos="0" relativeHeight="251659264" behindDoc="0" locked="0" layoutInCell="1" allowOverlap="1" wp14:anchorId="46643017" wp14:editId="49B9954F">
            <wp:simplePos x="0" y="0"/>
            <wp:positionH relativeFrom="margin">
              <wp:posOffset>76053</wp:posOffset>
            </wp:positionH>
            <wp:positionV relativeFrom="paragraph">
              <wp:posOffset>3149063</wp:posOffset>
            </wp:positionV>
            <wp:extent cx="2904490" cy="1017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aq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490" cy="1017905"/>
                    </a:xfrm>
                    <a:prstGeom prst="rect">
                      <a:avLst/>
                    </a:prstGeom>
                  </pic:spPr>
                </pic:pic>
              </a:graphicData>
            </a:graphic>
          </wp:anchor>
        </w:drawing>
      </w:r>
      <w:r w:rsidR="00300125">
        <w:rPr>
          <w:rFonts w:eastAsia="Times New Roman" w:cs="Times New Roman"/>
          <w:sz w:val="24"/>
          <w:szCs w:val="24"/>
        </w:rPr>
        <w:br/>
      </w:r>
      <w:r w:rsidR="00300125">
        <w:rPr>
          <w:rFonts w:eastAsia="Times New Roman" w:cs="Times New Roman"/>
          <w:sz w:val="24"/>
          <w:szCs w:val="24"/>
        </w:rPr>
        <w:br/>
      </w:r>
      <w:r w:rsidR="00300125">
        <w:rPr>
          <w:rFonts w:eastAsia="Times New Roman" w:cs="Times New Roman"/>
          <w:sz w:val="24"/>
          <w:szCs w:val="24"/>
        </w:rPr>
        <w:br/>
      </w:r>
      <w:r w:rsidR="00BA77CC">
        <w:br w:type="page"/>
      </w:r>
    </w:p>
    <w:p w14:paraId="7F7C6283" w14:textId="575EDA05" w:rsidR="00D96EBD" w:rsidRPr="00F14657" w:rsidRDefault="00300125" w:rsidP="00F14657">
      <w:pPr>
        <w:pStyle w:val="Heading3"/>
      </w:pPr>
      <w:r w:rsidRPr="00F14657">
        <w:lastRenderedPageBreak/>
        <w:t>UTAH DIVISION OF AIR QUALITY</w:t>
      </w:r>
      <w:r w:rsidR="00512C60" w:rsidRPr="00F14657">
        <w:t xml:space="preserve"> MARGINAL OZONE</w:t>
      </w:r>
      <w:r w:rsidRPr="00F14657">
        <w:t xml:space="preserve"> INVENTOR</w:t>
      </w:r>
      <w:r w:rsidR="00512C60" w:rsidRPr="00F14657">
        <w:t>Y</w:t>
      </w:r>
    </w:p>
    <w:p w14:paraId="2F42B01B" w14:textId="163C8E8B" w:rsidR="00E4692A" w:rsidRPr="001522E6" w:rsidRDefault="00E4692A" w:rsidP="00F14657">
      <w:pPr>
        <w:pStyle w:val="Heading4"/>
      </w:pPr>
      <w:r w:rsidRPr="001522E6">
        <w:t>Introduction</w:t>
      </w:r>
    </w:p>
    <w:p w14:paraId="125CC9C3" w14:textId="1E5C4741" w:rsidR="00D96EBD" w:rsidRDefault="009C63E0" w:rsidP="000D671D">
      <w:r w:rsidRPr="00D2119F">
        <w:t>O</w:t>
      </w:r>
      <w:r w:rsidR="00300125" w:rsidRPr="00D2119F">
        <w:t xml:space="preserve">n </w:t>
      </w:r>
      <w:r w:rsidR="00EE527E" w:rsidRPr="00D2119F">
        <w:t>October 26</w:t>
      </w:r>
      <w:r w:rsidR="00300125" w:rsidRPr="00D2119F">
        <w:t>, 20</w:t>
      </w:r>
      <w:r w:rsidR="00EE527E" w:rsidRPr="00D2119F">
        <w:t>15</w:t>
      </w:r>
      <w:r w:rsidR="00300125" w:rsidRPr="00D2119F">
        <w:t xml:space="preserve">, </w:t>
      </w:r>
      <w:r w:rsidR="00FB775F">
        <w:t>t</w:t>
      </w:r>
      <w:r w:rsidR="00567DFD">
        <w:t>he Environmental Protection Agency (</w:t>
      </w:r>
      <w:r w:rsidR="00300125" w:rsidRPr="00D2119F">
        <w:t>EPA</w:t>
      </w:r>
      <w:r w:rsidR="00567DFD">
        <w:t>)</w:t>
      </w:r>
      <w:r w:rsidR="00300125" w:rsidRPr="00D2119F">
        <w:t xml:space="preserve"> promulgated revisions to the National Ambient Air Quality Standards (NAAQS) for </w:t>
      </w:r>
      <w:r w:rsidR="00EE527E" w:rsidRPr="00D2119F">
        <w:t>ozone</w:t>
      </w:r>
      <w:r w:rsidR="00300125" w:rsidRPr="00D2119F">
        <w:t xml:space="preserve">. </w:t>
      </w:r>
      <w:r w:rsidR="00D2119F">
        <w:t>T</w:t>
      </w:r>
      <w:r w:rsidR="00D2119F" w:rsidRPr="00D2119F">
        <w:t xml:space="preserve">he EPA strengthened the ozone </w:t>
      </w:r>
      <w:r w:rsidR="00D2119F">
        <w:t xml:space="preserve">primary and secondary </w:t>
      </w:r>
      <w:r w:rsidR="00D2119F" w:rsidRPr="00D2119F">
        <w:t xml:space="preserve">NAAQS from 75 ppb to 70 ppb, based on </w:t>
      </w:r>
      <w:r w:rsidR="00DC7B49">
        <w:t>the</w:t>
      </w:r>
      <w:r w:rsidR="00D2119F" w:rsidRPr="00D2119F">
        <w:t xml:space="preserve"> three</w:t>
      </w:r>
      <w:r w:rsidR="00D2119F">
        <w:t>-</w:t>
      </w:r>
      <w:r w:rsidR="00D2119F" w:rsidRPr="00D2119F">
        <w:t xml:space="preserve">year average of the annual 4th highest daily eight-hour average concentration. </w:t>
      </w:r>
    </w:p>
    <w:p w14:paraId="5526489A" w14:textId="77777777" w:rsidR="000D671D" w:rsidRPr="00D2119F" w:rsidRDefault="000D671D" w:rsidP="000D671D">
      <w:pPr>
        <w:rPr>
          <w:sz w:val="24"/>
          <w:szCs w:val="24"/>
        </w:rPr>
      </w:pPr>
    </w:p>
    <w:p w14:paraId="0881CC03" w14:textId="274D3229" w:rsidR="003466D8" w:rsidRDefault="00300125" w:rsidP="000D671D">
      <w:r w:rsidRPr="00D2119F">
        <w:t xml:space="preserve">On </w:t>
      </w:r>
      <w:r w:rsidR="00DF7284">
        <w:t>August 3</w:t>
      </w:r>
      <w:r w:rsidRPr="00D2119F">
        <w:t>, 20</w:t>
      </w:r>
      <w:r w:rsidR="00DF7284">
        <w:t>18</w:t>
      </w:r>
      <w:r w:rsidRPr="00D2119F">
        <w:t xml:space="preserve">, EPA designated three </w:t>
      </w:r>
      <w:r w:rsidR="001C50D3">
        <w:t xml:space="preserve">ozone </w:t>
      </w:r>
      <w:r w:rsidRPr="00D2119F">
        <w:t>nonattainment areas (NAAs)</w:t>
      </w:r>
      <w:r w:rsidR="00567DFD">
        <w:t xml:space="preserve"> in Utah</w:t>
      </w:r>
      <w:r w:rsidR="00DF7284">
        <w:t>.</w:t>
      </w:r>
      <w:r w:rsidR="00FB775F">
        <w:t xml:space="preserve"> </w:t>
      </w:r>
      <w:r w:rsidR="00AC6A43">
        <w:t xml:space="preserve">The </w:t>
      </w:r>
      <w:r w:rsidR="00C970A6">
        <w:t xml:space="preserve">Uinta Basin (UB), </w:t>
      </w:r>
      <w:r w:rsidR="00AC6A43">
        <w:t>Northern Wasatch Front</w:t>
      </w:r>
      <w:r w:rsidR="00714D36">
        <w:t xml:space="preserve"> (NWF)</w:t>
      </w:r>
      <w:r w:rsidR="00AC6A43">
        <w:t xml:space="preserve">, </w:t>
      </w:r>
      <w:r w:rsidR="00E63074">
        <w:t xml:space="preserve">and the </w:t>
      </w:r>
      <w:r w:rsidR="00AC6A43">
        <w:t>Southern Wasatch Front</w:t>
      </w:r>
      <w:r w:rsidR="00714D36">
        <w:t xml:space="preserve"> (</w:t>
      </w:r>
      <w:r w:rsidR="006F150E">
        <w:t>SW</w:t>
      </w:r>
      <w:r w:rsidR="00714D36">
        <w:t>F)</w:t>
      </w:r>
      <w:r w:rsidR="00AC6A43">
        <w:t xml:space="preserve">. </w:t>
      </w:r>
      <w:r>
        <w:t xml:space="preserve">A map of the three NAAs is shown in Figure 1 below (see </w:t>
      </w:r>
      <w:r w:rsidR="00DF53E6">
        <w:t>83 FR 25776</w:t>
      </w:r>
      <w:r>
        <w:t>, "</w:t>
      </w:r>
      <w:r w:rsidR="00DF53E6" w:rsidRPr="00DF53E6">
        <w:t>Additional Air Quality Designations for the 2015 Ozone National Ambient Air Quality Standards</w:t>
      </w:r>
      <w:r>
        <w:t xml:space="preserve">”; Final Rule, </w:t>
      </w:r>
      <w:r w:rsidR="00DF53E6">
        <w:t>August 3</w:t>
      </w:r>
      <w:r>
        <w:t>, 20</w:t>
      </w:r>
      <w:r w:rsidR="00DF53E6">
        <w:t>18</w:t>
      </w:r>
      <w:r>
        <w:t>).</w:t>
      </w:r>
      <w:r w:rsidR="003466D8">
        <w:t xml:space="preserve"> All three areas in Utah are currently classified as marginal based on the 201</w:t>
      </w:r>
      <w:r w:rsidR="00DC7B49">
        <w:t>4</w:t>
      </w:r>
      <w:r w:rsidR="003466D8">
        <w:t>-201</w:t>
      </w:r>
      <w:r w:rsidR="00DC7B49">
        <w:t>6</w:t>
      </w:r>
      <w:r w:rsidR="003466D8">
        <w:t xml:space="preserve"> design value</w:t>
      </w:r>
      <w:r w:rsidR="00944949">
        <w:t xml:space="preserve"> and other data</w:t>
      </w:r>
      <w:r w:rsidR="003466D8">
        <w:t xml:space="preserve"> (see Table 1 for classification thresholds).</w:t>
      </w:r>
    </w:p>
    <w:p w14:paraId="234EC9AD" w14:textId="77777777" w:rsidR="000D671D" w:rsidRDefault="000D671D" w:rsidP="000D671D"/>
    <w:p w14:paraId="60400758" w14:textId="257AAB6B" w:rsidR="00FD4372" w:rsidRPr="00C901D4" w:rsidRDefault="00567DFD" w:rsidP="000D671D">
      <w:r w:rsidRPr="00FD4372">
        <w:t xml:space="preserve">Ozone production is a year-round phenomenon, </w:t>
      </w:r>
      <w:r w:rsidR="00C25447">
        <w:t xml:space="preserve">although most common in the summer months. </w:t>
      </w:r>
      <w:r w:rsidRPr="00C901D4">
        <w:t xml:space="preserve">However, under unique circumstances, high ozone levels can occur during the wintertime. In the Uinta Basin, wintertime ozone is associated with temperature inversions, snow cover, significant </w:t>
      </w:r>
      <w:r w:rsidR="001C50D3" w:rsidRPr="00C901D4">
        <w:t>volatile organic compound (</w:t>
      </w:r>
      <w:r w:rsidRPr="00C901D4">
        <w:t>VOC</w:t>
      </w:r>
      <w:r w:rsidR="001C50D3" w:rsidRPr="00C901D4">
        <w:t>)</w:t>
      </w:r>
      <w:r w:rsidRPr="00C901D4">
        <w:t xml:space="preserve"> and </w:t>
      </w:r>
      <w:r w:rsidR="001C50D3" w:rsidRPr="00C901D4">
        <w:t>nitrogen oxide (</w:t>
      </w:r>
      <w:r w:rsidRPr="00C901D4">
        <w:t>NO</w:t>
      </w:r>
      <w:r w:rsidR="001C50D3" w:rsidRPr="00C901D4">
        <w:rPr>
          <w:vertAlign w:val="subscript"/>
        </w:rPr>
        <w:t>X</w:t>
      </w:r>
      <w:r w:rsidR="001C50D3" w:rsidRPr="00C901D4">
        <w:t>)</w:t>
      </w:r>
      <w:r w:rsidRPr="00C901D4">
        <w:t xml:space="preserve"> emissions associated with oil</w:t>
      </w:r>
      <w:r w:rsidR="00A75685" w:rsidRPr="00C901D4">
        <w:t xml:space="preserve"> and </w:t>
      </w:r>
      <w:r w:rsidRPr="00C901D4">
        <w:t>gas production, and solar radiation</w:t>
      </w:r>
      <w:r w:rsidR="00FD4372" w:rsidRPr="00C901D4">
        <w:t>. Inventories have been compiled separately for the Wasatch Front and the Uinta Basin due to seasonal differences as well as different emission sources driving ozone production.</w:t>
      </w:r>
      <w:r w:rsidR="003B7674" w:rsidRPr="00C901D4">
        <w:t xml:space="preserve"> </w:t>
      </w:r>
    </w:p>
    <w:p w14:paraId="44263BEE" w14:textId="5860F2B6" w:rsidR="00E12A56" w:rsidRDefault="00DF7284" w:rsidP="00E12A56">
      <w:pPr>
        <w:keepNext/>
        <w:ind w:left="1440"/>
      </w:pPr>
      <w:r>
        <w:rPr>
          <w:noProof/>
        </w:rPr>
        <w:drawing>
          <wp:inline distT="0" distB="0" distL="0" distR="0" wp14:anchorId="1A4C1ECA" wp14:editId="231DD5F2">
            <wp:extent cx="3018622" cy="3189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NAAs.PNG"/>
                    <pic:cNvPicPr/>
                  </pic:nvPicPr>
                  <pic:blipFill rotWithShape="1">
                    <a:blip r:embed="rId9" cstate="print">
                      <a:extLst>
                        <a:ext uri="{28A0092B-C50C-407E-A947-70E740481C1C}">
                          <a14:useLocalDpi xmlns:a14="http://schemas.microsoft.com/office/drawing/2010/main" val="0"/>
                        </a:ext>
                      </a:extLst>
                    </a:blip>
                    <a:srcRect l="5247" r="1852" b="24158"/>
                    <a:stretch/>
                  </pic:blipFill>
                  <pic:spPr bwMode="auto">
                    <a:xfrm>
                      <a:off x="0" y="0"/>
                      <a:ext cx="3041421" cy="3213196"/>
                    </a:xfrm>
                    <a:prstGeom prst="rect">
                      <a:avLst/>
                    </a:prstGeom>
                    <a:ln>
                      <a:noFill/>
                    </a:ln>
                    <a:extLst>
                      <a:ext uri="{53640926-AAD7-44D8-BBD7-CCE9431645EC}">
                        <a14:shadowObscured xmlns:a14="http://schemas.microsoft.com/office/drawing/2010/main"/>
                      </a:ext>
                    </a:extLst>
                  </pic:spPr>
                </pic:pic>
              </a:graphicData>
            </a:graphic>
          </wp:inline>
        </w:drawing>
      </w:r>
    </w:p>
    <w:p w14:paraId="50A0CB97" w14:textId="7C299EAB" w:rsidR="001522E6" w:rsidRPr="00183801" w:rsidRDefault="00E12A56" w:rsidP="00183801">
      <w:pPr>
        <w:pStyle w:val="Caption"/>
        <w:ind w:left="1440" w:firstLine="720"/>
        <w:rPr>
          <w:rFonts w:eastAsia="Times New Roman" w:cs="Times New Roman"/>
          <w:color w:val="000000"/>
        </w:rPr>
      </w:pPr>
      <w:r>
        <w:t xml:space="preserve">Figure </w:t>
      </w:r>
      <w:r w:rsidR="00A60F26">
        <w:fldChar w:fldCharType="begin"/>
      </w:r>
      <w:r w:rsidR="00A60F26">
        <w:instrText xml:space="preserve"> SEQ Figure \* ARABIC </w:instrText>
      </w:r>
      <w:r w:rsidR="00A60F26">
        <w:fldChar w:fldCharType="separate"/>
      </w:r>
      <w:r w:rsidR="00D363AF">
        <w:rPr>
          <w:noProof/>
        </w:rPr>
        <w:t>1</w:t>
      </w:r>
      <w:r w:rsidR="00A60F26">
        <w:rPr>
          <w:noProof/>
        </w:rPr>
        <w:fldChar w:fldCharType="end"/>
      </w:r>
      <w:r>
        <w:t xml:space="preserve">: Utah's </w:t>
      </w:r>
      <w:r w:rsidR="00DF7284">
        <w:t>Ozone</w:t>
      </w:r>
      <w:r>
        <w:t xml:space="preserve"> Nonattainment Areas</w:t>
      </w:r>
    </w:p>
    <w:p w14:paraId="270EA55D" w14:textId="23DFEADE" w:rsidR="00AD183B" w:rsidRDefault="00AD183B">
      <w:pPr>
        <w:rPr>
          <w:rFonts w:eastAsia="Times New Roman" w:cs="Times New Roman"/>
          <w:color w:val="000000"/>
        </w:rPr>
      </w:pPr>
      <w:r w:rsidRPr="00AD183B">
        <w:rPr>
          <w:rFonts w:eastAsia="Times New Roman" w:cs="Times New Roman"/>
          <w:noProof/>
          <w:color w:val="000000"/>
        </w:rPr>
        <w:lastRenderedPageBreak/>
        <w:drawing>
          <wp:inline distT="0" distB="0" distL="0" distR="0" wp14:anchorId="60421DB7" wp14:editId="6243FF2B">
            <wp:extent cx="5943600" cy="2037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37080"/>
                    </a:xfrm>
                    <a:prstGeom prst="rect">
                      <a:avLst/>
                    </a:prstGeom>
                  </pic:spPr>
                </pic:pic>
              </a:graphicData>
            </a:graphic>
          </wp:inline>
        </w:drawing>
      </w:r>
    </w:p>
    <w:p w14:paraId="4735C300" w14:textId="1C84BA9B" w:rsidR="00D96EBD" w:rsidRDefault="00D96EBD">
      <w:pPr>
        <w:rPr>
          <w:rFonts w:eastAsia="Times New Roman" w:cs="Times New Roman"/>
          <w:color w:val="000000"/>
        </w:rPr>
      </w:pPr>
    </w:p>
    <w:p w14:paraId="04FCAC52" w14:textId="209BB1EA" w:rsidR="006D52D6" w:rsidRDefault="006D52D6" w:rsidP="000D671D">
      <w:r>
        <w:t>The EPA published the Implementation of the 2015 National Ambient Air Quality Standards for Ozone: Nonattainment Area State Implementation Plan Requirements in December 2018 (see 83 FR 62988). The ozone implementation rule details State Implementation Plan (SIP) requirements for each classification. Table 2 details the SIP requirements for Utah’s marginal areas with due dates.</w:t>
      </w:r>
    </w:p>
    <w:p w14:paraId="10051D1A" w14:textId="77777777" w:rsidR="000D671D" w:rsidRDefault="000D671D" w:rsidP="000D671D"/>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30"/>
        <w:gridCol w:w="3121"/>
        <w:gridCol w:w="3099"/>
      </w:tblGrid>
      <w:tr w:rsidR="007F50FA" w14:paraId="183B9C07" w14:textId="22A63CA4" w:rsidTr="00A5150B">
        <w:trPr>
          <w:trHeight w:val="437"/>
        </w:trPr>
        <w:tc>
          <w:tcPr>
            <w:tcW w:w="3130" w:type="dxa"/>
          </w:tcPr>
          <w:p w14:paraId="5F6ADB26" w14:textId="6024DAA3"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Federal Requirement</w:t>
            </w:r>
          </w:p>
        </w:tc>
        <w:tc>
          <w:tcPr>
            <w:tcW w:w="3121" w:type="dxa"/>
          </w:tcPr>
          <w:p w14:paraId="21662D74" w14:textId="3BEFC28B"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Description</w:t>
            </w:r>
          </w:p>
        </w:tc>
        <w:tc>
          <w:tcPr>
            <w:tcW w:w="3099" w:type="dxa"/>
          </w:tcPr>
          <w:p w14:paraId="5E712855" w14:textId="04485385"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Due Date</w:t>
            </w:r>
          </w:p>
        </w:tc>
      </w:tr>
      <w:tr w:rsidR="007F50FA" w14:paraId="2F24DBCC" w14:textId="36252D08" w:rsidTr="00A5150B">
        <w:trPr>
          <w:trHeight w:val="451"/>
        </w:trPr>
        <w:tc>
          <w:tcPr>
            <w:tcW w:w="3130" w:type="dxa"/>
          </w:tcPr>
          <w:p w14:paraId="41DD6546" w14:textId="70CAD272" w:rsidR="007F50FA"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51.165</w:t>
            </w:r>
          </w:p>
        </w:tc>
        <w:tc>
          <w:tcPr>
            <w:tcW w:w="3121" w:type="dxa"/>
          </w:tcPr>
          <w:p w14:paraId="65831920" w14:textId="1618959D" w:rsidR="007F50FA" w:rsidRPr="00DC7B49" w:rsidRDefault="007F50FA">
            <w:pPr>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Marginal Ozone Offset Requirement </w:t>
            </w:r>
            <w:r w:rsidR="00343296" w:rsidRPr="00DC7B49">
              <w:rPr>
                <w:rFonts w:ascii="Arial" w:eastAsia="Times New Roman" w:hAnsi="Arial" w:cs="Arial"/>
                <w:color w:val="000000"/>
                <w:sz w:val="20"/>
                <w:szCs w:val="20"/>
              </w:rPr>
              <w:t xml:space="preserve">for VOCs </w:t>
            </w:r>
            <w:r w:rsidRPr="00DC7B49">
              <w:rPr>
                <w:rFonts w:ascii="Arial" w:eastAsia="Times New Roman" w:hAnsi="Arial" w:cs="Arial"/>
                <w:color w:val="000000"/>
                <w:sz w:val="20"/>
                <w:szCs w:val="20"/>
              </w:rPr>
              <w:t>at 1.1:1 ratio</w:t>
            </w:r>
          </w:p>
        </w:tc>
        <w:tc>
          <w:tcPr>
            <w:tcW w:w="3099" w:type="dxa"/>
          </w:tcPr>
          <w:p w14:paraId="6AD4A629" w14:textId="59AFD63E" w:rsidR="007F50FA" w:rsidRPr="00DC7B49" w:rsidRDefault="00343296">
            <w:pPr>
              <w:rPr>
                <w:rFonts w:ascii="Arial" w:eastAsia="Times New Roman" w:hAnsi="Arial" w:cs="Arial"/>
                <w:sz w:val="20"/>
                <w:szCs w:val="20"/>
              </w:rPr>
            </w:pPr>
            <w:r w:rsidRPr="00DC7B49">
              <w:rPr>
                <w:rFonts w:ascii="Arial" w:eastAsia="Times New Roman" w:hAnsi="Arial" w:cs="Arial"/>
                <w:sz w:val="20"/>
                <w:szCs w:val="20"/>
              </w:rPr>
              <w:t xml:space="preserve">August </w:t>
            </w:r>
            <w:r w:rsidR="00D63A97" w:rsidRPr="00DC7B49">
              <w:rPr>
                <w:rFonts w:ascii="Arial" w:eastAsia="Times New Roman" w:hAnsi="Arial" w:cs="Arial"/>
                <w:sz w:val="20"/>
                <w:szCs w:val="20"/>
              </w:rPr>
              <w:t xml:space="preserve">3, </w:t>
            </w:r>
            <w:r w:rsidRPr="00DC7B49">
              <w:rPr>
                <w:rFonts w:ascii="Arial" w:eastAsia="Times New Roman" w:hAnsi="Arial" w:cs="Arial"/>
                <w:sz w:val="20"/>
                <w:szCs w:val="20"/>
              </w:rPr>
              <w:t>2021</w:t>
            </w:r>
          </w:p>
          <w:p w14:paraId="4B3D51D0" w14:textId="7AF7544C" w:rsidR="0091113E" w:rsidRPr="00DC7B49" w:rsidRDefault="0091113E">
            <w:pPr>
              <w:rPr>
                <w:rFonts w:ascii="Arial" w:eastAsia="Times New Roman" w:hAnsi="Arial" w:cs="Arial"/>
                <w:sz w:val="20"/>
                <w:szCs w:val="20"/>
              </w:rPr>
            </w:pPr>
            <w:r w:rsidRPr="00DC7B49">
              <w:rPr>
                <w:rFonts w:ascii="Arial" w:eastAsia="Times New Roman" w:hAnsi="Arial" w:cs="Arial"/>
                <w:color w:val="000000"/>
                <w:sz w:val="20"/>
                <w:szCs w:val="20"/>
              </w:rPr>
              <w:t>40 CFR 51.1314 New Source Review Requirements</w:t>
            </w:r>
          </w:p>
        </w:tc>
      </w:tr>
      <w:tr w:rsidR="007F50FA" w14:paraId="2673C25E" w14:textId="0A788476" w:rsidTr="00A5150B">
        <w:trPr>
          <w:trHeight w:val="437"/>
        </w:trPr>
        <w:tc>
          <w:tcPr>
            <w:tcW w:w="3130" w:type="dxa"/>
          </w:tcPr>
          <w:p w14:paraId="3410EA9D" w14:textId="35AD1F63" w:rsidR="007F50FA" w:rsidRPr="00DC7B49" w:rsidRDefault="00C36148">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51.1314</w:t>
            </w:r>
          </w:p>
        </w:tc>
        <w:tc>
          <w:tcPr>
            <w:tcW w:w="3121" w:type="dxa"/>
          </w:tcPr>
          <w:p w14:paraId="08056A25" w14:textId="032900A0" w:rsidR="007F50FA"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Statement Rule</w:t>
            </w:r>
          </w:p>
        </w:tc>
        <w:tc>
          <w:tcPr>
            <w:tcW w:w="3099" w:type="dxa"/>
          </w:tcPr>
          <w:p w14:paraId="4C7E6BEC" w14:textId="08A772FB" w:rsidR="007F50FA" w:rsidRPr="00DC7B49" w:rsidRDefault="000927E4">
            <w:pPr>
              <w:rPr>
                <w:rFonts w:ascii="Arial" w:eastAsia="Times New Roman" w:hAnsi="Arial" w:cs="Arial"/>
                <w:color w:val="000000"/>
                <w:sz w:val="20"/>
                <w:szCs w:val="20"/>
              </w:rPr>
            </w:pPr>
            <w:r w:rsidRPr="00DC7B49">
              <w:rPr>
                <w:rFonts w:ascii="Arial" w:eastAsia="Times New Roman" w:hAnsi="Arial" w:cs="Arial"/>
                <w:color w:val="000000"/>
                <w:sz w:val="20"/>
                <w:szCs w:val="20"/>
              </w:rPr>
              <w:t>August 3, 2020</w:t>
            </w:r>
          </w:p>
        </w:tc>
      </w:tr>
      <w:tr w:rsidR="005547DC" w14:paraId="63DA4270" w14:textId="77777777" w:rsidTr="00A5150B">
        <w:trPr>
          <w:trHeight w:val="437"/>
        </w:trPr>
        <w:tc>
          <w:tcPr>
            <w:tcW w:w="3130" w:type="dxa"/>
          </w:tcPr>
          <w:p w14:paraId="3C5D3DBB" w14:textId="516E19C3" w:rsidR="005547DC"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51.1315</w:t>
            </w:r>
          </w:p>
        </w:tc>
        <w:tc>
          <w:tcPr>
            <w:tcW w:w="3121" w:type="dxa"/>
          </w:tcPr>
          <w:p w14:paraId="6015FF1B" w14:textId="78F6AC91" w:rsidR="005547DC"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Inventory</w:t>
            </w:r>
            <w:r w:rsidR="0091113E" w:rsidRPr="00DC7B49">
              <w:rPr>
                <w:rFonts w:ascii="Arial" w:eastAsia="Times New Roman" w:hAnsi="Arial" w:cs="Arial"/>
                <w:color w:val="000000"/>
                <w:sz w:val="20"/>
                <w:szCs w:val="20"/>
              </w:rPr>
              <w:t xml:space="preserve"> Requirements</w:t>
            </w:r>
          </w:p>
        </w:tc>
        <w:tc>
          <w:tcPr>
            <w:tcW w:w="3099" w:type="dxa"/>
          </w:tcPr>
          <w:p w14:paraId="46E89649" w14:textId="2ABF63D7" w:rsidR="005547DC" w:rsidRPr="00DC7B49" w:rsidRDefault="005547DC" w:rsidP="00C901D4">
            <w:pPr>
              <w:keepNext/>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August </w:t>
            </w:r>
            <w:r w:rsidR="000927E4" w:rsidRPr="00DC7B49">
              <w:rPr>
                <w:rFonts w:ascii="Arial" w:eastAsia="Times New Roman" w:hAnsi="Arial" w:cs="Arial"/>
                <w:color w:val="000000"/>
                <w:sz w:val="20"/>
                <w:szCs w:val="20"/>
              </w:rPr>
              <w:t xml:space="preserve">3, </w:t>
            </w:r>
            <w:r w:rsidRPr="00DC7B49">
              <w:rPr>
                <w:rFonts w:ascii="Arial" w:eastAsia="Times New Roman" w:hAnsi="Arial" w:cs="Arial"/>
                <w:color w:val="000000"/>
                <w:sz w:val="20"/>
                <w:szCs w:val="20"/>
              </w:rPr>
              <w:t>2020</w:t>
            </w:r>
          </w:p>
        </w:tc>
      </w:tr>
    </w:tbl>
    <w:p w14:paraId="1899A16E" w14:textId="1D57D9FB" w:rsidR="00C901D4" w:rsidRDefault="00C901D4">
      <w:pPr>
        <w:pStyle w:val="Caption"/>
      </w:pPr>
      <w:r>
        <w:t>Table 2: Marginal Ozone Requirements</w:t>
      </w:r>
    </w:p>
    <w:p w14:paraId="2AF77D63" w14:textId="6C6B86AD" w:rsidR="003466D8" w:rsidRDefault="003466D8">
      <w:pPr>
        <w:rPr>
          <w:rFonts w:eastAsia="Times New Roman" w:cs="Times New Roman"/>
          <w:color w:val="000000"/>
        </w:rPr>
      </w:pPr>
      <w:r>
        <w:rPr>
          <w:rFonts w:eastAsia="Times New Roman" w:cs="Times New Roman"/>
          <w:color w:val="000000"/>
        </w:rPr>
        <w:t xml:space="preserve"> </w:t>
      </w:r>
    </w:p>
    <w:p w14:paraId="353BAC29" w14:textId="0F8F6446" w:rsidR="00567DFD" w:rsidRPr="00C901D4" w:rsidRDefault="006B0D8C" w:rsidP="000D671D">
      <w:r>
        <w:t xml:space="preserve">40 CFR 51.1315 requires </w:t>
      </w:r>
      <w:r w:rsidR="0065790B">
        <w:t>states</w:t>
      </w:r>
      <w:r>
        <w:t xml:space="preserve"> to submit a base year inventory </w:t>
      </w:r>
      <w:r w:rsidR="00FB775F">
        <w:t>two</w:t>
      </w:r>
      <w:r>
        <w:t xml:space="preserve"> years after </w:t>
      </w:r>
      <w:r w:rsidR="00ED6389">
        <w:t xml:space="preserve">a nonattainment </w:t>
      </w:r>
      <w:r>
        <w:t>designation. The base year inventory means a comprehensive, accurate, current inventory of actual emissions from sources of VOC</w:t>
      </w:r>
      <w:r w:rsidR="00441558">
        <w:t>s</w:t>
      </w:r>
      <w:r>
        <w:t xml:space="preserve"> and </w:t>
      </w:r>
      <w:r w:rsidR="00ED6389" w:rsidRPr="00FD4372">
        <w:t>NO</w:t>
      </w:r>
      <w:r w:rsidR="00ED6389" w:rsidRPr="001C50D3">
        <w:rPr>
          <w:vertAlign w:val="subscript"/>
        </w:rPr>
        <w:t>X</w:t>
      </w:r>
      <w:r>
        <w:t xml:space="preserve"> emitted within the boundaries of the </w:t>
      </w:r>
      <w:r w:rsidR="00684E5B">
        <w:t>NAA</w:t>
      </w:r>
      <w:r>
        <w:t xml:space="preserve"> as required by CAA section 182(a)(1).</w:t>
      </w:r>
      <w:r w:rsidR="00567DFD">
        <w:t xml:space="preserve"> The base year for this SIP submittal is 2017, which is the most recent calendar year for which a complete triennial inventory was submitted to the EPA. The inventory is compiled in ozone season day emissions, which is an average day’s emissions for a typical ozone season work weekday. </w:t>
      </w:r>
      <w:r w:rsidR="0065790B" w:rsidRPr="00C901D4">
        <w:t>This is an average February day for</w:t>
      </w:r>
      <w:r w:rsidR="00567DFD" w:rsidRPr="00C901D4">
        <w:t xml:space="preserve"> </w:t>
      </w:r>
      <w:r w:rsidR="0065790B" w:rsidRPr="00C901D4">
        <w:t xml:space="preserve">the </w:t>
      </w:r>
      <w:r w:rsidR="00567DFD" w:rsidRPr="00C901D4">
        <w:t>Uinta Basin</w:t>
      </w:r>
      <w:r w:rsidR="0065790B" w:rsidRPr="00C901D4">
        <w:t>.</w:t>
      </w:r>
    </w:p>
    <w:p w14:paraId="63DDF049" w14:textId="77777777" w:rsidR="000D671D" w:rsidRDefault="000D671D" w:rsidP="000D671D"/>
    <w:p w14:paraId="4F62DF20" w14:textId="1F16B74D" w:rsidR="000D671D" w:rsidRPr="000D671D" w:rsidRDefault="00D63A97" w:rsidP="000D671D">
      <w:r>
        <w:t>This document gives a brief overview of the baseline emission inventory</w:t>
      </w:r>
      <w:r w:rsidR="008B2071">
        <w:t>. T</w:t>
      </w:r>
      <w:r w:rsidR="00F45D5D">
        <w:t>he</w:t>
      </w:r>
      <w:r w:rsidR="00DF5816">
        <w:t xml:space="preserve"> other marginal ozone requirements will be addressed in separate documents</w:t>
      </w:r>
      <w:r>
        <w:t xml:space="preserve">. The technical support documentation </w:t>
      </w:r>
      <w:r w:rsidR="008B2071">
        <w:t xml:space="preserve">accompanying this SIP submittal </w:t>
      </w:r>
      <w:r w:rsidR="00C82D9E">
        <w:t>detail</w:t>
      </w:r>
      <w:r w:rsidR="008B2071">
        <w:t xml:space="preserve">s inventory development of </w:t>
      </w:r>
      <w:r>
        <w:t xml:space="preserve">each source category. </w:t>
      </w:r>
    </w:p>
    <w:p w14:paraId="6746DB0A" w14:textId="53F6D758" w:rsidR="00377359" w:rsidRPr="001522E6" w:rsidRDefault="00377359" w:rsidP="00F14657">
      <w:pPr>
        <w:pStyle w:val="Heading4"/>
      </w:pPr>
      <w:r w:rsidRPr="001522E6">
        <w:t>Geographic Area</w:t>
      </w:r>
    </w:p>
    <w:p w14:paraId="31D869BD" w14:textId="5F662DE4" w:rsidR="006B34D6" w:rsidRDefault="006B34D6" w:rsidP="00377359">
      <w:pPr>
        <w:spacing w:after="100" w:afterAutospacing="1"/>
        <w:rPr>
          <w:rFonts w:eastAsia="Times New Roman" w:cs="Times New Roman"/>
        </w:rPr>
      </w:pPr>
      <w:r>
        <w:rPr>
          <w:rFonts w:eastAsia="Times New Roman" w:cs="Times New Roman"/>
        </w:rPr>
        <w:t xml:space="preserve">Emissions are typically </w:t>
      </w:r>
      <w:r w:rsidR="00CD35DE">
        <w:rPr>
          <w:rFonts w:eastAsia="Times New Roman" w:cs="Times New Roman"/>
        </w:rPr>
        <w:t>calculated</w:t>
      </w:r>
      <w:r>
        <w:rPr>
          <w:rFonts w:eastAsia="Times New Roman" w:cs="Times New Roman"/>
        </w:rPr>
        <w:t xml:space="preserve"> for area and mobile sources on a county-by-county basis.</w:t>
      </w:r>
      <w:r w:rsidR="0098558C">
        <w:rPr>
          <w:rFonts w:eastAsia="Times New Roman" w:cs="Times New Roman"/>
        </w:rPr>
        <w:t xml:space="preserve"> </w:t>
      </w:r>
      <w:r>
        <w:rPr>
          <w:rFonts w:eastAsia="Times New Roman" w:cs="Times New Roman"/>
        </w:rPr>
        <w:t>The boundaries of the three ozone NAAs in Utah do not follow county lines and are complicated by partial counties</w:t>
      </w:r>
      <w:r w:rsidR="00FB775F">
        <w:rPr>
          <w:rFonts w:eastAsia="Times New Roman" w:cs="Times New Roman"/>
        </w:rPr>
        <w:t xml:space="preserve">, </w:t>
      </w:r>
      <w:r>
        <w:rPr>
          <w:rFonts w:eastAsia="Times New Roman" w:cs="Times New Roman"/>
        </w:rPr>
        <w:t>elevation boundaries</w:t>
      </w:r>
      <w:r w:rsidR="00FB775F">
        <w:rPr>
          <w:rFonts w:eastAsia="Times New Roman" w:cs="Times New Roman"/>
        </w:rPr>
        <w:t>, and jurisdictional boundaries</w:t>
      </w:r>
      <w:r>
        <w:rPr>
          <w:rFonts w:eastAsia="Times New Roman" w:cs="Times New Roman"/>
        </w:rPr>
        <w:t>.</w:t>
      </w:r>
      <w:r w:rsidR="00CD35DE">
        <w:rPr>
          <w:rFonts w:eastAsia="Times New Roman" w:cs="Times New Roman"/>
        </w:rPr>
        <w:t xml:space="preserve"> For all source categories, inventories </w:t>
      </w:r>
      <w:r w:rsidR="00CD35DE" w:rsidRPr="00CD35DE">
        <w:rPr>
          <w:rFonts w:eastAsia="Times New Roman" w:cs="Times New Roman"/>
        </w:rPr>
        <w:t xml:space="preserve">were compiled statewide to ensure </w:t>
      </w:r>
      <w:r w:rsidR="00F22620">
        <w:rPr>
          <w:rFonts w:eastAsia="Times New Roman" w:cs="Times New Roman"/>
        </w:rPr>
        <w:t xml:space="preserve">the inclusion of </w:t>
      </w:r>
      <w:r w:rsidR="00CD35DE" w:rsidRPr="00CD35DE">
        <w:rPr>
          <w:rFonts w:eastAsia="Times New Roman" w:cs="Times New Roman"/>
        </w:rPr>
        <w:t>all pollutants</w:t>
      </w:r>
      <w:r w:rsidR="00F22620">
        <w:rPr>
          <w:rFonts w:eastAsia="Times New Roman" w:cs="Times New Roman"/>
        </w:rPr>
        <w:t xml:space="preserve"> </w:t>
      </w:r>
      <w:r w:rsidR="00CD35DE" w:rsidRPr="00CD35DE">
        <w:rPr>
          <w:rFonts w:eastAsia="Times New Roman" w:cs="Times New Roman"/>
        </w:rPr>
        <w:t xml:space="preserve">including short-range transported pollutants. </w:t>
      </w:r>
      <w:r w:rsidR="00CD35DE">
        <w:rPr>
          <w:rFonts w:eastAsia="Times New Roman" w:cs="Times New Roman"/>
        </w:rPr>
        <w:t>In addition, although this is the marginal baseline inventory, this data</w:t>
      </w:r>
      <w:r w:rsidR="00A63BB3">
        <w:rPr>
          <w:rFonts w:eastAsia="Times New Roman" w:cs="Times New Roman"/>
        </w:rPr>
        <w:t xml:space="preserve"> year</w:t>
      </w:r>
      <w:r w:rsidR="00CD35DE">
        <w:rPr>
          <w:rFonts w:eastAsia="Times New Roman" w:cs="Times New Roman"/>
        </w:rPr>
        <w:t xml:space="preserve"> will be used as the baseline inventory i</w:t>
      </w:r>
      <w:r w:rsidR="00B44D41">
        <w:rPr>
          <w:rFonts w:eastAsia="Times New Roman" w:cs="Times New Roman"/>
        </w:rPr>
        <w:t>n the event that any of the</w:t>
      </w:r>
      <w:r w:rsidR="00090347">
        <w:rPr>
          <w:rFonts w:eastAsia="Times New Roman" w:cs="Times New Roman"/>
        </w:rPr>
        <w:t xml:space="preserve"> NAAs</w:t>
      </w:r>
      <w:r w:rsidR="00CD35DE">
        <w:rPr>
          <w:rFonts w:eastAsia="Times New Roman" w:cs="Times New Roman"/>
        </w:rPr>
        <w:t xml:space="preserve"> a</w:t>
      </w:r>
      <w:r w:rsidR="00CD35DE" w:rsidRPr="000454A8">
        <w:rPr>
          <w:rFonts w:eastAsia="Times New Roman" w:cs="Times New Roman"/>
        </w:rPr>
        <w:t xml:space="preserve">re reclassified to moderate status and an attainment SIP is required. </w:t>
      </w:r>
      <w:r w:rsidRPr="000454A8">
        <w:rPr>
          <w:rFonts w:eastAsia="Times New Roman" w:cs="Times New Roman"/>
        </w:rPr>
        <w:t xml:space="preserve">The raw </w:t>
      </w:r>
      <w:r w:rsidR="0098558C">
        <w:rPr>
          <w:rFonts w:eastAsia="Times New Roman" w:cs="Times New Roman"/>
        </w:rPr>
        <w:t xml:space="preserve">inventory </w:t>
      </w:r>
      <w:r w:rsidRPr="000454A8">
        <w:rPr>
          <w:rFonts w:eastAsia="Times New Roman" w:cs="Times New Roman"/>
        </w:rPr>
        <w:t xml:space="preserve">data is entered into </w:t>
      </w:r>
      <w:r w:rsidR="00F22620" w:rsidRPr="000454A8">
        <w:rPr>
          <w:rFonts w:eastAsia="Times New Roman" w:cs="Times New Roman"/>
        </w:rPr>
        <w:t xml:space="preserve">an </w:t>
      </w:r>
      <w:r w:rsidR="000454A8" w:rsidRPr="000454A8">
        <w:rPr>
          <w:rFonts w:eastAsia="Times New Roman" w:cs="Times New Roman"/>
        </w:rPr>
        <w:t>emissions processing model</w:t>
      </w:r>
      <w:r w:rsidRPr="000454A8">
        <w:rPr>
          <w:rFonts w:eastAsia="Times New Roman" w:cs="Times New Roman"/>
        </w:rPr>
        <w:t xml:space="preserve"> </w:t>
      </w:r>
      <w:r w:rsidR="00CD35DE" w:rsidRPr="000454A8">
        <w:rPr>
          <w:rFonts w:eastAsia="Times New Roman" w:cs="Times New Roman"/>
        </w:rPr>
        <w:t>and</w:t>
      </w:r>
      <w:r w:rsidRPr="000454A8">
        <w:rPr>
          <w:rFonts w:eastAsia="Times New Roman" w:cs="Times New Roman"/>
        </w:rPr>
        <w:t xml:space="preserve"> assigned a geographic location (grid cell).</w:t>
      </w:r>
      <w:r w:rsidR="0098558C">
        <w:rPr>
          <w:rFonts w:eastAsia="Times New Roman" w:cs="Times New Roman"/>
        </w:rPr>
        <w:t xml:space="preserve"> </w:t>
      </w:r>
      <w:r w:rsidRPr="000454A8">
        <w:rPr>
          <w:rFonts w:eastAsia="Times New Roman" w:cs="Times New Roman"/>
        </w:rPr>
        <w:t xml:space="preserve">To report emissions specific to the NAAs, </w:t>
      </w:r>
      <w:r w:rsidR="00441558">
        <w:rPr>
          <w:rFonts w:eastAsia="Times New Roman" w:cs="Times New Roman"/>
        </w:rPr>
        <w:t>the Utah Division of Air Quality (</w:t>
      </w:r>
      <w:r w:rsidRPr="000454A8">
        <w:rPr>
          <w:rFonts w:eastAsia="Times New Roman" w:cs="Times New Roman"/>
        </w:rPr>
        <w:t>U</w:t>
      </w:r>
      <w:r w:rsidR="00C67438">
        <w:rPr>
          <w:rFonts w:eastAsia="Times New Roman" w:cs="Times New Roman"/>
        </w:rPr>
        <w:t>DAQ</w:t>
      </w:r>
      <w:r w:rsidR="00441558">
        <w:rPr>
          <w:rFonts w:eastAsia="Times New Roman" w:cs="Times New Roman"/>
        </w:rPr>
        <w:t>)</w:t>
      </w:r>
      <w:r w:rsidRPr="000454A8">
        <w:rPr>
          <w:rFonts w:eastAsia="Times New Roman" w:cs="Times New Roman"/>
        </w:rPr>
        <w:t xml:space="preserve"> </w:t>
      </w:r>
      <w:r w:rsidRPr="000454A8">
        <w:rPr>
          <w:rFonts w:eastAsia="Times New Roman" w:cs="Times New Roman"/>
        </w:rPr>
        <w:lastRenderedPageBreak/>
        <w:t xml:space="preserve">will use a GIS description for each area to retrieve the respective emissions data after it has been gridded into the model.  </w:t>
      </w:r>
    </w:p>
    <w:p w14:paraId="6096C8B2" w14:textId="0C744390" w:rsidR="00D96EBD" w:rsidRPr="00377359" w:rsidRDefault="00C066E0" w:rsidP="00F14657">
      <w:pPr>
        <w:pStyle w:val="Heading4"/>
      </w:pPr>
      <w:bookmarkStart w:id="0" w:name="_Hlk40779134"/>
      <w:r w:rsidRPr="00377359">
        <w:t>Pollutants</w:t>
      </w:r>
    </w:p>
    <w:p w14:paraId="139E4596" w14:textId="0C15546A" w:rsidR="00D96EBD" w:rsidRDefault="00300125" w:rsidP="000D671D">
      <w:r>
        <w:t xml:space="preserve">The </w:t>
      </w:r>
      <w:r w:rsidR="0012581A">
        <w:t xml:space="preserve">inventoried </w:t>
      </w:r>
      <w:r>
        <w:t>pollutants include NO</w:t>
      </w:r>
      <w:r w:rsidR="00582AFF">
        <w:rPr>
          <w:vertAlign w:val="subscript"/>
        </w:rPr>
        <w:t>X</w:t>
      </w:r>
      <w:r>
        <w:t>, VOC</w:t>
      </w:r>
      <w:r w:rsidR="00441558">
        <w:t>s</w:t>
      </w:r>
      <w:r>
        <w:t xml:space="preserve">, and </w:t>
      </w:r>
      <w:r w:rsidR="00441558">
        <w:t>carbon monoxide (</w:t>
      </w:r>
      <w:r w:rsidR="0012581A">
        <w:t>CO</w:t>
      </w:r>
      <w:r w:rsidR="00441558">
        <w:t>)</w:t>
      </w:r>
      <w:r>
        <w:t>.</w:t>
      </w:r>
      <w:r w:rsidR="00DC7B49">
        <w:t xml:space="preserve"> </w:t>
      </w:r>
      <w:r w:rsidR="00582AFF">
        <w:t>NO</w:t>
      </w:r>
      <w:r w:rsidR="00582AFF">
        <w:rPr>
          <w:vertAlign w:val="subscript"/>
        </w:rPr>
        <w:t>X</w:t>
      </w:r>
      <w:r w:rsidR="00F10DB9">
        <w:t xml:space="preserve"> and VOC</w:t>
      </w:r>
      <w:r w:rsidR="000E31FA">
        <w:t>s</w:t>
      </w:r>
      <w:r w:rsidR="00F10DB9">
        <w:t xml:space="preserve"> are the only pollutants required </w:t>
      </w:r>
      <w:r w:rsidR="00DC7B49">
        <w:t>by</w:t>
      </w:r>
      <w:r w:rsidR="00F10DB9">
        <w:t xml:space="preserve"> the implementation rule, but CO is an important pollutant for modeling, and </w:t>
      </w:r>
      <w:r w:rsidR="005866D9">
        <w:t>i</w:t>
      </w:r>
      <w:r w:rsidR="00F10DB9">
        <w:t>s therefore included in this inventory in preparation for a moderate reclassification.</w:t>
      </w:r>
    </w:p>
    <w:p w14:paraId="05F0C7D3" w14:textId="6E465A8D" w:rsidR="00377359" w:rsidRPr="00377359" w:rsidRDefault="00377359" w:rsidP="00F14657">
      <w:pPr>
        <w:pStyle w:val="Heading4"/>
      </w:pPr>
      <w:r w:rsidRPr="00377359">
        <w:t>Temperature and Relative Humidity for Mobile Source Emissions</w:t>
      </w:r>
    </w:p>
    <w:p w14:paraId="24B88673" w14:textId="61AE6D53" w:rsidR="00F1752A" w:rsidRDefault="00252339" w:rsidP="000D671D">
      <w:pPr>
        <w:rPr>
          <w:color w:val="000000"/>
          <w:shd w:val="clear" w:color="auto" w:fill="FFFFFF"/>
        </w:rPr>
      </w:pPr>
      <w:r w:rsidRPr="00252339">
        <w:t>Mobile emissions modeling requires diurnal temperature and relative humidity profiles that are representative of the region of interest in order t</w:t>
      </w:r>
      <w:r w:rsidRPr="00252339">
        <w:rPr>
          <w:color w:val="000000"/>
          <w:shd w:val="clear" w:color="auto" w:fill="FFFFFF"/>
        </w:rPr>
        <w:t>o accurately reflect vehicle operating processes such as cold start</w:t>
      </w:r>
      <w:r w:rsidR="00E3712C">
        <w:rPr>
          <w:color w:val="000000"/>
          <w:shd w:val="clear" w:color="auto" w:fill="FFFFFF"/>
        </w:rPr>
        <w:t>s</w:t>
      </w:r>
      <w:r w:rsidRPr="00252339">
        <w:rPr>
          <w:color w:val="000000"/>
          <w:shd w:val="clear" w:color="auto" w:fill="FFFFFF"/>
        </w:rPr>
        <w:t xml:space="preserve"> </w:t>
      </w:r>
      <w:r w:rsidR="00E3712C">
        <w:rPr>
          <w:color w:val="000000"/>
          <w:shd w:val="clear" w:color="auto" w:fill="FFFFFF"/>
        </w:rPr>
        <w:t>and</w:t>
      </w:r>
      <w:r w:rsidRPr="00252339">
        <w:rPr>
          <w:color w:val="000000"/>
          <w:shd w:val="clear" w:color="auto" w:fill="FFFFFF"/>
        </w:rPr>
        <w:t xml:space="preserve"> </w:t>
      </w:r>
      <w:r w:rsidR="00E3712C">
        <w:rPr>
          <w:color w:val="000000"/>
          <w:shd w:val="clear" w:color="auto" w:fill="FFFFFF"/>
        </w:rPr>
        <w:t>i</w:t>
      </w:r>
      <w:r w:rsidRPr="00252339">
        <w:rPr>
          <w:color w:val="000000"/>
          <w:shd w:val="clear" w:color="auto" w:fill="FFFFFF"/>
        </w:rPr>
        <w:t>dl</w:t>
      </w:r>
      <w:r>
        <w:rPr>
          <w:color w:val="000000"/>
          <w:shd w:val="clear" w:color="auto" w:fill="FFFFFF"/>
        </w:rPr>
        <w:t xml:space="preserve">ing. </w:t>
      </w:r>
    </w:p>
    <w:p w14:paraId="619C5135" w14:textId="77777777" w:rsidR="000D671D" w:rsidRDefault="000D671D" w:rsidP="000D671D"/>
    <w:p w14:paraId="2726BE51" w14:textId="55739F5A" w:rsidR="00F1752A" w:rsidRPr="002928DD" w:rsidRDefault="00F1752A" w:rsidP="000D671D">
      <w:pPr>
        <w:rPr>
          <w:rFonts w:eastAsia="Times New Roman"/>
        </w:rPr>
      </w:pPr>
      <w:r w:rsidRPr="002928DD">
        <w:rPr>
          <w:rFonts w:eastAsia="Times New Roman"/>
        </w:rPr>
        <w:t xml:space="preserve">The Uinta Basin temperature and relative humidity profiles were created using a 10-day high wintertime ozone episode </w:t>
      </w:r>
      <w:r w:rsidR="00C55FAA" w:rsidRPr="002928DD">
        <w:rPr>
          <w:rFonts w:eastAsia="Times New Roman"/>
        </w:rPr>
        <w:t xml:space="preserve">from </w:t>
      </w:r>
      <w:r w:rsidRPr="002928DD">
        <w:rPr>
          <w:rFonts w:eastAsia="Times New Roman"/>
        </w:rPr>
        <w:t>February 1</w:t>
      </w:r>
      <w:r w:rsidR="00441558" w:rsidRPr="000E31FA">
        <w:rPr>
          <w:rFonts w:eastAsia="Times New Roman"/>
          <w:vertAlign w:val="superscript"/>
        </w:rPr>
        <w:t>st</w:t>
      </w:r>
      <w:r w:rsidR="00441558">
        <w:rPr>
          <w:rFonts w:eastAsia="Times New Roman"/>
        </w:rPr>
        <w:t xml:space="preserve"> th</w:t>
      </w:r>
      <w:r w:rsidR="000E31FA">
        <w:rPr>
          <w:rFonts w:eastAsia="Times New Roman"/>
        </w:rPr>
        <w:t>r</w:t>
      </w:r>
      <w:r w:rsidR="00441558">
        <w:rPr>
          <w:rFonts w:eastAsia="Times New Roman"/>
        </w:rPr>
        <w:t>ou</w:t>
      </w:r>
      <w:r w:rsidR="000E31FA">
        <w:rPr>
          <w:rFonts w:eastAsia="Times New Roman"/>
        </w:rPr>
        <w:t>g</w:t>
      </w:r>
      <w:r w:rsidR="00441558">
        <w:rPr>
          <w:rFonts w:eastAsia="Times New Roman"/>
        </w:rPr>
        <w:t>h the 10</w:t>
      </w:r>
      <w:r w:rsidR="00441558" w:rsidRPr="000E31FA">
        <w:rPr>
          <w:rFonts w:eastAsia="Times New Roman"/>
          <w:vertAlign w:val="superscript"/>
        </w:rPr>
        <w:t>th</w:t>
      </w:r>
      <w:r w:rsidR="00441558">
        <w:rPr>
          <w:rFonts w:eastAsia="Times New Roman"/>
        </w:rPr>
        <w:t xml:space="preserve"> in 2013</w:t>
      </w:r>
      <w:r w:rsidRPr="002928DD">
        <w:rPr>
          <w:rFonts w:eastAsia="Times New Roman"/>
        </w:rPr>
        <w:t xml:space="preserve">. </w:t>
      </w:r>
      <w:r w:rsidR="00C55FAA" w:rsidRPr="002928DD">
        <w:rPr>
          <w:rFonts w:eastAsia="Times New Roman"/>
        </w:rPr>
        <w:t>This is the same episode that will be used for photochemical model validation for future SIP work.</w:t>
      </w:r>
    </w:p>
    <w:bookmarkEnd w:id="0"/>
    <w:p w14:paraId="64F53952" w14:textId="77777777" w:rsidR="00377359" w:rsidRDefault="00DD4498" w:rsidP="00F14657">
      <w:pPr>
        <w:pStyle w:val="Heading4"/>
      </w:pPr>
      <w:r w:rsidRPr="00377359">
        <w:t xml:space="preserve">Emission </w:t>
      </w:r>
      <w:r w:rsidR="00087C43" w:rsidRPr="00377359">
        <w:t>Source Categories</w:t>
      </w:r>
    </w:p>
    <w:p w14:paraId="00FC2264" w14:textId="03A8FE8F" w:rsidR="005866D9" w:rsidRDefault="00DE6F45" w:rsidP="00816C14">
      <w:r>
        <w:t>CAA Section 182(b)(1)(B) requires a baseline emissions inventory for NO</w:t>
      </w:r>
      <w:r w:rsidRPr="00DE6F45">
        <w:rPr>
          <w:vertAlign w:val="subscript"/>
        </w:rPr>
        <w:t>X</w:t>
      </w:r>
      <w:r>
        <w:t xml:space="preserve"> and VOCs from all anthropogenic sources in the NAA to be included in ozone SIPs for purposes of rate of progress/reasonable further progress (RFP) demonstrations. This would include </w:t>
      </w:r>
      <w:r w:rsidR="003828BA">
        <w:t>any anthropogenic wildfire emissions as well. Since this is not an RFP demonstration, wildfire emissions are not included in this inventory. However, wildfire emission</w:t>
      </w:r>
      <w:r w:rsidR="00A868F3">
        <w:t>s</w:t>
      </w:r>
      <w:r w:rsidR="003828BA">
        <w:t xml:space="preserve"> will be included in any future baseline inventory for an attainment or RFP SIP. </w:t>
      </w:r>
      <w:proofErr w:type="spellStart"/>
      <w:r w:rsidR="003828BA">
        <w:t>Biogenics</w:t>
      </w:r>
      <w:proofErr w:type="spellEnd"/>
      <w:r w:rsidR="003828BA">
        <w:t xml:space="preserve"> are an important source of VOCs and will be included in any future ozone modeling as well.</w:t>
      </w:r>
      <w:r w:rsidR="00A868F3" w:rsidRPr="00A868F3">
        <w:t xml:space="preserve"> </w:t>
      </w:r>
      <w:r w:rsidR="00A868F3">
        <w:t xml:space="preserve">Source categories that are included in this inventory are: Area, Point, On-Road Mobile, Non-Road Mobile, </w:t>
      </w:r>
      <w:r w:rsidR="00A868F3" w:rsidRPr="002928DD">
        <w:t>and Oil and Gas.</w:t>
      </w:r>
    </w:p>
    <w:p w14:paraId="36E940C5" w14:textId="77777777" w:rsidR="00F14657" w:rsidRPr="00F14657" w:rsidRDefault="00ED4E35" w:rsidP="00F14657">
      <w:pPr>
        <w:pStyle w:val="Heading5"/>
        <w:rPr>
          <w:rFonts w:eastAsia="Calibri"/>
        </w:rPr>
      </w:pPr>
      <w:r w:rsidRPr="00F14657">
        <w:t xml:space="preserve">Area Source </w:t>
      </w:r>
    </w:p>
    <w:p w14:paraId="02D83276" w14:textId="1581B7BB" w:rsidR="00587594" w:rsidRPr="00F14657" w:rsidRDefault="00F14657" w:rsidP="00816C14">
      <w:r>
        <w:rPr>
          <w:rFonts w:eastAsia="Times New Roman"/>
          <w:color w:val="000000"/>
        </w:rPr>
        <w:t xml:space="preserve">Area source </w:t>
      </w:r>
      <w:r w:rsidR="00ED4E35" w:rsidRPr="00F14657">
        <w:rPr>
          <w:rFonts w:eastAsia="Times New Roman"/>
          <w:color w:val="000000"/>
        </w:rPr>
        <w:t xml:space="preserve">emissions </w:t>
      </w:r>
      <w:r w:rsidR="00FD3BC4" w:rsidRPr="00F14657">
        <w:rPr>
          <w:rFonts w:eastAsia="Times New Roman"/>
          <w:color w:val="000000"/>
        </w:rPr>
        <w:t>were</w:t>
      </w:r>
      <w:r w:rsidR="00ED4E35" w:rsidRPr="00F14657">
        <w:rPr>
          <w:rFonts w:eastAsia="Times New Roman"/>
          <w:color w:val="000000"/>
        </w:rPr>
        <w:t xml:space="preserve"> calculated by county</w:t>
      </w:r>
      <w:r w:rsidR="00A8288F" w:rsidRPr="00F14657">
        <w:rPr>
          <w:rFonts w:eastAsia="Times New Roman"/>
          <w:color w:val="000000"/>
        </w:rPr>
        <w:t xml:space="preserve"> on a ton per year basis</w:t>
      </w:r>
      <w:r w:rsidR="00587594" w:rsidRPr="00F14657">
        <w:rPr>
          <w:rFonts w:eastAsia="Times New Roman"/>
          <w:color w:val="000000"/>
        </w:rPr>
        <w:t xml:space="preserve"> </w:t>
      </w:r>
      <w:r w:rsidR="00C6229A">
        <w:t>using UDAQ area source emissions calculation workbooks which serve as the basis for 2017 National Emissions Inventory data</w:t>
      </w:r>
      <w:r w:rsidR="00ED4E35" w:rsidRPr="00F14657">
        <w:rPr>
          <w:rFonts w:eastAsia="Times New Roman"/>
          <w:color w:val="000000"/>
        </w:rPr>
        <w:t xml:space="preserve">. </w:t>
      </w:r>
      <w:r w:rsidR="00ED4E35" w:rsidRPr="00F14657">
        <w:rPr>
          <w:bCs/>
          <w:iCs/>
        </w:rPr>
        <w:t>Area Sources</w:t>
      </w:r>
      <w:r w:rsidR="00ED4E35" w:rsidRPr="00F14657">
        <w:rPr>
          <w:b/>
          <w:bCs/>
          <w:i/>
          <w:iCs/>
        </w:rPr>
        <w:t xml:space="preserve"> </w:t>
      </w:r>
      <w:r w:rsidR="00ED4E35" w:rsidRPr="00F14657">
        <w:t>are typically smaller, yet pervasive sources that do not qualify as point sources under the relevant emissions cutoffs. Area sources encompass more widespread sources that may be abundant, but that, individually, release small amounts of a given pollutant.</w:t>
      </w:r>
      <w:r w:rsidR="00F05662" w:rsidRPr="00F14657">
        <w:t xml:space="preserve"> Examples include dry cleaners, residential</w:t>
      </w:r>
      <w:r w:rsidR="003844B4">
        <w:t xml:space="preserve"> heating and cooling</w:t>
      </w:r>
      <w:r w:rsidR="00F05662" w:rsidRPr="00F14657">
        <w:t>, auto body painting, and consumer solvent use. Area source e</w:t>
      </w:r>
      <w:r w:rsidR="00ED4E35" w:rsidRPr="00F14657">
        <w:t>missions are estimated as a group rather than individually</w:t>
      </w:r>
      <w:r w:rsidR="007B4E15" w:rsidRPr="00F14657">
        <w:t xml:space="preserve"> using</w:t>
      </w:r>
      <w:r w:rsidR="000800D2" w:rsidRPr="00F14657">
        <w:t xml:space="preserve"> processes (i.e. fuel combustion) and</w:t>
      </w:r>
      <w:r w:rsidR="00F05662" w:rsidRPr="00F14657">
        <w:t xml:space="preserve"> </w:t>
      </w:r>
      <w:r w:rsidR="007B4E15" w:rsidRPr="00F14657">
        <w:t xml:space="preserve">activity </w:t>
      </w:r>
      <w:r w:rsidR="00F05662" w:rsidRPr="00F14657">
        <w:t xml:space="preserve">data </w:t>
      </w:r>
      <w:r w:rsidR="000800D2" w:rsidRPr="00F14657">
        <w:t>(</w:t>
      </w:r>
      <w:r w:rsidR="00F05662" w:rsidRPr="00F14657">
        <w:t>includ</w:t>
      </w:r>
      <w:r w:rsidR="007B4E15" w:rsidRPr="00F14657">
        <w:t>ing</w:t>
      </w:r>
      <w:r w:rsidR="00F05662" w:rsidRPr="00F14657">
        <w:t xml:space="preserve"> population, employment, VMT, fuel usage, animal, crop, oil and gas industry throughput submissions, </w:t>
      </w:r>
      <w:r w:rsidR="007B4E15" w:rsidRPr="00F14657">
        <w:t>etc.</w:t>
      </w:r>
      <w:r w:rsidR="000800D2" w:rsidRPr="00F14657">
        <w:t>) to estimate emissions.</w:t>
      </w:r>
    </w:p>
    <w:p w14:paraId="1EF9D667" w14:textId="7DBDE7F1" w:rsidR="00587594" w:rsidRPr="00F14657" w:rsidRDefault="00F14657" w:rsidP="00F14657">
      <w:pPr>
        <w:pStyle w:val="Heading5"/>
      </w:pPr>
      <w:r>
        <w:t>Point Source</w:t>
      </w:r>
    </w:p>
    <w:p w14:paraId="071D329A" w14:textId="6D6ED1C4" w:rsidR="00A30E0F" w:rsidRPr="00F14657" w:rsidRDefault="00A30E0F" w:rsidP="00A30E0F">
      <w:bookmarkStart w:id="1" w:name="_Hlk42684112"/>
      <w:r w:rsidRPr="00F14657">
        <w:t xml:space="preserve">Point Source emissions are represented as the actual 2017 emissions from the </w:t>
      </w:r>
      <w:r>
        <w:t>source-</w:t>
      </w:r>
      <w:r w:rsidRPr="00F14657">
        <w:t xml:space="preserve">reported numbers in </w:t>
      </w:r>
      <w:r>
        <w:t>UDAQ’s</w:t>
      </w:r>
      <w:r w:rsidRPr="00F14657">
        <w:t xml:space="preserve"> </w:t>
      </w:r>
      <w:r w:rsidR="009D6205">
        <w:t>SLEIS (</w:t>
      </w:r>
      <w:r>
        <w:t>State and Local Emissions Inventory System</w:t>
      </w:r>
      <w:r w:rsidR="009D6205">
        <w:t xml:space="preserve">) </w:t>
      </w:r>
      <w:r w:rsidRPr="00F14657">
        <w:t>database. Any source that has the potential to emit greater than or equal to 100 t</w:t>
      </w:r>
      <w:r w:rsidR="001B16F8">
        <w:t>ons per year</w:t>
      </w:r>
      <w:r w:rsidRPr="00F14657">
        <w:t xml:space="preserve"> of </w:t>
      </w:r>
      <w:r w:rsidRPr="00FD4372">
        <w:t>NO</w:t>
      </w:r>
      <w:r w:rsidRPr="001C50D3">
        <w:rPr>
          <w:vertAlign w:val="subscript"/>
        </w:rPr>
        <w:t>X</w:t>
      </w:r>
      <w:r w:rsidRPr="00F14657">
        <w:t xml:space="preserve"> or VOCs in the state of Utah is included in the point source inventory. The point source actuals are reported in tons per year.</w:t>
      </w:r>
      <w:r>
        <w:t xml:space="preserve"> </w:t>
      </w:r>
      <w:r w:rsidRPr="00F14657">
        <w:t>There are 5</w:t>
      </w:r>
      <w:r w:rsidR="000E4F0A">
        <w:t>3</w:t>
      </w:r>
      <w:r w:rsidRPr="00F14657">
        <w:t xml:space="preserve"> point sources in the State</w:t>
      </w:r>
      <w:r>
        <w:t xml:space="preserve"> of Utah</w:t>
      </w:r>
      <w:r w:rsidRPr="00F14657">
        <w:t xml:space="preserve">, with </w:t>
      </w:r>
      <w:r w:rsidR="002813E4">
        <w:t>five</w:t>
      </w:r>
      <w:r w:rsidR="002813E4" w:rsidRPr="00F14657">
        <w:t xml:space="preserve"> in the U</w:t>
      </w:r>
      <w:r w:rsidR="002813E4">
        <w:t>B</w:t>
      </w:r>
      <w:r w:rsidR="002813E4" w:rsidRPr="00F14657">
        <w:t xml:space="preserve"> NAA</w:t>
      </w:r>
      <w:r w:rsidR="002813E4">
        <w:t xml:space="preserve">, </w:t>
      </w:r>
      <w:r w:rsidR="000E4F0A">
        <w:t>15</w:t>
      </w:r>
      <w:r w:rsidRPr="00F14657">
        <w:t xml:space="preserve"> in the N</w:t>
      </w:r>
      <w:r>
        <w:t>WF</w:t>
      </w:r>
      <w:r w:rsidRPr="00F14657">
        <w:t xml:space="preserve"> NAA, </w:t>
      </w:r>
      <w:r>
        <w:t>two</w:t>
      </w:r>
      <w:r w:rsidRPr="00F14657">
        <w:t xml:space="preserve"> point sources in the </w:t>
      </w:r>
      <w:r>
        <w:t>SWF</w:t>
      </w:r>
      <w:r w:rsidRPr="00F14657">
        <w:t xml:space="preserve"> NAA, and 3</w:t>
      </w:r>
      <w:r w:rsidR="000E4F0A">
        <w:t>1</w:t>
      </w:r>
      <w:r w:rsidRPr="00F14657">
        <w:t xml:space="preserve"> outside of any ozone NAA.</w:t>
      </w:r>
    </w:p>
    <w:bookmarkEnd w:id="1"/>
    <w:p w14:paraId="0F058E11" w14:textId="6798D44A" w:rsidR="00F14657" w:rsidRDefault="00F14657" w:rsidP="00F14657">
      <w:pPr>
        <w:pStyle w:val="Heading5"/>
      </w:pPr>
      <w:r>
        <w:t>On-Road Mobile Source</w:t>
      </w:r>
    </w:p>
    <w:p w14:paraId="5D6C6B8E" w14:textId="7E9A6520" w:rsidR="00B53721" w:rsidRPr="00537FB0" w:rsidRDefault="00587594" w:rsidP="00816C14">
      <w:r w:rsidRPr="00F14657">
        <w:lastRenderedPageBreak/>
        <w:t>On-</w:t>
      </w:r>
      <w:r w:rsidR="00F14657">
        <w:t>r</w:t>
      </w:r>
      <w:r w:rsidRPr="00F14657">
        <w:t xml:space="preserve">oad </w:t>
      </w:r>
      <w:r w:rsidR="00F14657">
        <w:t>m</w:t>
      </w:r>
      <w:r w:rsidRPr="00F14657">
        <w:t xml:space="preserve">obile </w:t>
      </w:r>
      <w:r w:rsidR="00F14657">
        <w:t>s</w:t>
      </w:r>
      <w:r w:rsidRPr="00F14657">
        <w:t>ource</w:t>
      </w:r>
      <w:r w:rsidRPr="00880FFD">
        <w:t xml:space="preserve"> emission </w:t>
      </w:r>
      <w:r w:rsidR="006A020A" w:rsidRPr="00880FFD">
        <w:t>inventories were</w:t>
      </w:r>
      <w:r w:rsidRPr="00880FFD">
        <w:t xml:space="preserve"> prepared by the metropolitan planning organizations (MPOs) for the urban NAAs</w:t>
      </w:r>
      <w:r w:rsidR="003B2D8D" w:rsidRPr="00880FFD">
        <w:t>, U</w:t>
      </w:r>
      <w:r w:rsidR="00B7140A">
        <w:t>tah Department of Transportation</w:t>
      </w:r>
      <w:r w:rsidR="003B2D8D" w:rsidRPr="00880FFD">
        <w:t xml:space="preserve"> </w:t>
      </w:r>
      <w:r w:rsidR="006A020A" w:rsidRPr="00880FFD">
        <w:t>provided</w:t>
      </w:r>
      <w:r w:rsidR="00321D95" w:rsidRPr="00880FFD">
        <w:t xml:space="preserve"> </w:t>
      </w:r>
      <w:r w:rsidR="003B2D8D" w:rsidRPr="00880FFD">
        <w:t>the rural nonattainment count</w:t>
      </w:r>
      <w:r w:rsidR="00321D95" w:rsidRPr="00880FFD">
        <w:t>y inventories</w:t>
      </w:r>
      <w:r w:rsidR="003B2D8D" w:rsidRPr="00880FFD">
        <w:t>,</w:t>
      </w:r>
      <w:r w:rsidRPr="00880FFD">
        <w:t xml:space="preserve"> and UDAQ provide</w:t>
      </w:r>
      <w:r w:rsidR="006A020A" w:rsidRPr="00880FFD">
        <w:t>d</w:t>
      </w:r>
      <w:r w:rsidRPr="00880FFD">
        <w:t xml:space="preserve"> rural attainment area inventories for </w:t>
      </w:r>
      <w:r w:rsidR="006A020A" w:rsidRPr="00880FFD">
        <w:t xml:space="preserve">the remaining </w:t>
      </w:r>
      <w:r w:rsidRPr="00880FFD">
        <w:t>2</w:t>
      </w:r>
      <w:r w:rsidR="0056508B" w:rsidRPr="00880FFD">
        <w:t>0</w:t>
      </w:r>
      <w:r w:rsidRPr="00880FFD">
        <w:t xml:space="preserve"> counties</w:t>
      </w:r>
      <w:r w:rsidR="006A020A" w:rsidRPr="00880FFD">
        <w:t xml:space="preserve"> in the State</w:t>
      </w:r>
      <w:r w:rsidRPr="00880FFD">
        <w:t xml:space="preserve">. Inventories </w:t>
      </w:r>
      <w:r w:rsidR="0056508B" w:rsidRPr="00880FFD">
        <w:t>were</w:t>
      </w:r>
      <w:r w:rsidRPr="00880FFD">
        <w:t xml:space="preserve"> developed </w:t>
      </w:r>
      <w:r w:rsidR="0056508B" w:rsidRPr="00880FFD">
        <w:t>in</w:t>
      </w:r>
      <w:r w:rsidRPr="00880FFD">
        <w:t xml:space="preserve"> tons per day for </w:t>
      </w:r>
      <w:r w:rsidR="002A6C0C" w:rsidRPr="00880FFD">
        <w:t>an average winter weekday for the U</w:t>
      </w:r>
      <w:r w:rsidR="00960EF2">
        <w:t>B</w:t>
      </w:r>
      <w:r w:rsidR="002A6C0C" w:rsidRPr="00880FFD">
        <w:t xml:space="preserve"> NAA.</w:t>
      </w:r>
      <w:r w:rsidR="00295B57" w:rsidRPr="00880FFD">
        <w:t xml:space="preserve"> </w:t>
      </w:r>
      <w:r w:rsidR="001D4C89" w:rsidRPr="00880FFD">
        <w:t>Each MPO is responsible for developing the latest planning assumptions for the MOVES 2014b model.  The Technical Support Documentation will explain what specific local planning assumptions were used.</w:t>
      </w:r>
    </w:p>
    <w:p w14:paraId="24C41124" w14:textId="72C76972" w:rsidR="00DC3E3F" w:rsidRDefault="00DC3E3F" w:rsidP="00DC3E3F">
      <w:pPr>
        <w:pStyle w:val="Heading5"/>
      </w:pPr>
      <w:r>
        <w:t>Non-Road Mobile Source</w:t>
      </w:r>
    </w:p>
    <w:p w14:paraId="65063585" w14:textId="208AD1B6" w:rsidR="00B215F5" w:rsidRPr="000D671D" w:rsidRDefault="00B53721" w:rsidP="00816C14">
      <w:r w:rsidRPr="000D671D">
        <w:rPr>
          <w:rFonts w:eastAsia="Times New Roman"/>
        </w:rPr>
        <w:t>Non-</w:t>
      </w:r>
      <w:r w:rsidR="00DC3E3F" w:rsidRPr="000D671D">
        <w:rPr>
          <w:rFonts w:eastAsia="Times New Roman"/>
        </w:rPr>
        <w:t>r</w:t>
      </w:r>
      <w:r w:rsidRPr="000D671D">
        <w:rPr>
          <w:rFonts w:eastAsia="Times New Roman"/>
        </w:rPr>
        <w:t xml:space="preserve">oad </w:t>
      </w:r>
      <w:r w:rsidR="00DC3E3F" w:rsidRPr="000D671D">
        <w:rPr>
          <w:rFonts w:eastAsia="Times New Roman"/>
        </w:rPr>
        <w:t>m</w:t>
      </w:r>
      <w:r w:rsidRPr="000D671D">
        <w:rPr>
          <w:rFonts w:eastAsia="Times New Roman"/>
        </w:rPr>
        <w:t>obile source emissions were calculated for the entire state by county.</w:t>
      </w:r>
      <w:r w:rsidR="002F0FDE" w:rsidRPr="000D671D">
        <w:rPr>
          <w:rFonts w:eastAsia="Times New Roman"/>
        </w:rPr>
        <w:t xml:space="preserve"> </w:t>
      </w:r>
      <w:r w:rsidR="00880FFD" w:rsidRPr="000D671D">
        <w:t>EPA’s most current MOVES model (MOVES2014b-Nonroad) was used to obtain emission inventories for nonroad mobile vehicles and equipment that operate on unpaved roads or other areas</w:t>
      </w:r>
      <w:r w:rsidR="00A76BAD" w:rsidRPr="000D671D">
        <w:t xml:space="preserve"> using the temperature and relative humidity profiles discussed in the previous section</w:t>
      </w:r>
      <w:r w:rsidR="00880FFD" w:rsidRPr="000D671D">
        <w:t>. T</w:t>
      </w:r>
      <w:r w:rsidR="00B215F5" w:rsidRPr="000D671D">
        <w:t>his</w:t>
      </w:r>
      <w:r w:rsidR="00880FFD" w:rsidRPr="000D671D">
        <w:t xml:space="preserve"> include</w:t>
      </w:r>
      <w:r w:rsidR="00B215F5" w:rsidRPr="000D671D">
        <w:t xml:space="preserve">s </w:t>
      </w:r>
      <w:r w:rsidR="00880FFD" w:rsidRPr="000D671D">
        <w:t xml:space="preserve">lawn and garden equipment, construction equipment, engines used in recreational activities, portable industrial, commercial, and agricultural engines. </w:t>
      </w:r>
      <w:r w:rsidR="00B215F5" w:rsidRPr="000D671D">
        <w:t>The EPA estimates emissions related to aircraft activity for all known U.S. airports. Diesel locomotive activity is submitted by railroad companies in units of locomotive diesel fuel consumption (gallons per year) by county.</w:t>
      </w:r>
    </w:p>
    <w:p w14:paraId="400DF063" w14:textId="69A3B5D3" w:rsidR="00DC3E3F" w:rsidRDefault="00DC3E3F" w:rsidP="00DC3E3F">
      <w:pPr>
        <w:pStyle w:val="Heading5"/>
      </w:pPr>
      <w:r>
        <w:t>Oil and Gas Source</w:t>
      </w:r>
    </w:p>
    <w:p w14:paraId="583F1018" w14:textId="120AD6F5" w:rsidR="00DF6B2F" w:rsidRPr="000D671D" w:rsidRDefault="00BD2187" w:rsidP="00883DAA">
      <w:r w:rsidRPr="000D671D">
        <w:t xml:space="preserve">Oil and </w:t>
      </w:r>
      <w:r w:rsidR="00DC3E3F" w:rsidRPr="000D671D">
        <w:t>g</w:t>
      </w:r>
      <w:r w:rsidRPr="000D671D">
        <w:t>as</w:t>
      </w:r>
      <w:r w:rsidR="00A87E8A" w:rsidRPr="000D671D">
        <w:rPr>
          <w:b/>
        </w:rPr>
        <w:t xml:space="preserve"> </w:t>
      </w:r>
      <w:r w:rsidR="00A87E8A" w:rsidRPr="000D671D">
        <w:t xml:space="preserve">source emissions are </w:t>
      </w:r>
      <w:r w:rsidR="00DF6B2F" w:rsidRPr="000D671D">
        <w:t xml:space="preserve">tabulated using </w:t>
      </w:r>
      <w:r w:rsidR="00C20062" w:rsidRPr="000D671D">
        <w:t xml:space="preserve">a combination of </w:t>
      </w:r>
      <w:r w:rsidR="00DF6B2F" w:rsidRPr="000D671D">
        <w:t>individual inventory workbooks submitted by oil and gas sources that provide throughputs and emissions</w:t>
      </w:r>
      <w:r w:rsidR="00C20062" w:rsidRPr="000D671D">
        <w:t xml:space="preserve"> as well as summations from </w:t>
      </w:r>
      <w:r w:rsidR="006B4D5D">
        <w:t>other data sources</w:t>
      </w:r>
      <w:r w:rsidR="00DF6B2F" w:rsidRPr="000D671D">
        <w:t>.</w:t>
      </w:r>
      <w:r w:rsidR="00C20062" w:rsidRPr="000D671D">
        <w:t xml:space="preserve"> </w:t>
      </w:r>
      <w:r w:rsidR="00000E72">
        <w:t>Data sources</w:t>
      </w:r>
      <w:r w:rsidR="00C20062" w:rsidRPr="000D671D">
        <w:t xml:space="preserve"> include </w:t>
      </w:r>
      <w:r w:rsidR="00DF6B2F" w:rsidRPr="000D671D">
        <w:t xml:space="preserve">EPA/NOMAD (Nonpoint Methods Advisory group) oil and gas tool outputs and </w:t>
      </w:r>
      <w:r w:rsidR="00C20062" w:rsidRPr="000D671D">
        <w:t>other</w:t>
      </w:r>
      <w:r w:rsidR="00DF6B2F" w:rsidRPr="000D671D">
        <w:t xml:space="preserve"> </w:t>
      </w:r>
      <w:r w:rsidR="00000E72">
        <w:t xml:space="preserve">“gap filling” </w:t>
      </w:r>
      <w:r w:rsidR="00DF6B2F" w:rsidRPr="000D671D">
        <w:t xml:space="preserve">emissions estimates. </w:t>
      </w:r>
      <w:r w:rsidR="00DF6B2F" w:rsidRPr="000D671D">
        <w:rPr>
          <w:bCs/>
        </w:rPr>
        <w:t>A copy of the oil and gas workbook and instructions used by sources for their individual inventories is included in th</w:t>
      </w:r>
      <w:r w:rsidR="000D671D">
        <w:rPr>
          <w:bCs/>
        </w:rPr>
        <w:t>e technical support documentation</w:t>
      </w:r>
      <w:proofErr w:type="gramStart"/>
      <w:r w:rsidR="00A60F26">
        <w:rPr>
          <w:bCs/>
        </w:rPr>
        <w:t xml:space="preserve">. </w:t>
      </w:r>
      <w:proofErr w:type="gramEnd"/>
      <w:r w:rsidR="00A60F26">
        <w:rPr>
          <w:bCs/>
        </w:rPr>
        <w:t>The off-road and non-road inventories for oil and gas described below are included in the oil and gas inventory row in Table 3</w:t>
      </w:r>
      <w:bookmarkStart w:id="2" w:name="_GoBack"/>
      <w:bookmarkEnd w:id="2"/>
      <w:r w:rsidR="00920119">
        <w:rPr>
          <w:bCs/>
        </w:rPr>
        <w:t>:</w:t>
      </w:r>
    </w:p>
    <w:p w14:paraId="1B50BA50" w14:textId="7495D32D" w:rsidR="00DC3E3F" w:rsidRDefault="00DC3E3F" w:rsidP="00DC3E3F">
      <w:pPr>
        <w:pStyle w:val="Heading6"/>
      </w:pPr>
      <w:r>
        <w:t>Off-Road Mobile Oil and Gas</w:t>
      </w:r>
    </w:p>
    <w:p w14:paraId="571715E2" w14:textId="0850B587" w:rsidR="00C20062" w:rsidRPr="000D671D" w:rsidRDefault="00C20062" w:rsidP="00883DAA">
      <w:r w:rsidRPr="000D671D">
        <w:t xml:space="preserve">In addition to the </w:t>
      </w:r>
      <w:r w:rsidR="00D20F8A" w:rsidRPr="000D671D">
        <w:t>emissions from the</w:t>
      </w:r>
      <w:r w:rsidR="00CF3B58" w:rsidRPr="000D671D">
        <w:t xml:space="preserve"> actual </w:t>
      </w:r>
      <w:r w:rsidR="00D20F8A" w:rsidRPr="000D671D">
        <w:t xml:space="preserve">extraction of oil and gas, there are the emissions associated with the </w:t>
      </w:r>
      <w:r w:rsidR="00ED5BC9" w:rsidRPr="000D671D">
        <w:t>off</w:t>
      </w:r>
      <w:r w:rsidR="00D20F8A" w:rsidRPr="000D671D">
        <w:t>-road mobile sector that supports the oil and gas industry. These emissions are not captured in the typical on-road mobile sector</w:t>
      </w:r>
      <w:r w:rsidR="00ED5BC9" w:rsidRPr="000D671D">
        <w:t>. This includes gasoline and diesel light duty commercial trucks and diesel combination short haul trucks that are operating in the oil field</w:t>
      </w:r>
      <w:r w:rsidR="00DC37A0" w:rsidRPr="000D671D">
        <w:t>s, not necessarily on paved roads.</w:t>
      </w:r>
    </w:p>
    <w:p w14:paraId="1462AD5F" w14:textId="68BE3EE7" w:rsidR="00DC3E3F" w:rsidRDefault="00DC3E3F" w:rsidP="00DC3E3F">
      <w:pPr>
        <w:pStyle w:val="Heading6"/>
      </w:pPr>
      <w:r>
        <w:t>Non-Road Oil and Gas Well Equipment</w:t>
      </w:r>
    </w:p>
    <w:p w14:paraId="7EA5990B" w14:textId="6574ABFB" w:rsidR="00D96EBD" w:rsidRPr="00F14657" w:rsidRDefault="00FD7957" w:rsidP="000D671D">
      <w:r>
        <w:t xml:space="preserve">When oil and gas well pads are constructed, there is a substantial amount of </w:t>
      </w:r>
      <w:r w:rsidR="00653ACB">
        <w:t>non-road construction equipment on-site, including graders, bulldozers</w:t>
      </w:r>
      <w:r w:rsidR="00474A8B">
        <w:t>, track hoes</w:t>
      </w:r>
      <w:r w:rsidR="00653ACB">
        <w:t xml:space="preserve">, water trucks, </w:t>
      </w:r>
      <w:r w:rsidR="00474A8B">
        <w:t>side booms</w:t>
      </w:r>
      <w:r w:rsidR="00653ACB">
        <w:t>, etc.</w:t>
      </w:r>
      <w:r w:rsidR="00DC3E3F">
        <w:t xml:space="preserve"> </w:t>
      </w:r>
      <w:r w:rsidR="00653ACB">
        <w:t xml:space="preserve">The emissions </w:t>
      </w:r>
      <w:proofErr w:type="gramStart"/>
      <w:r w:rsidR="00653ACB">
        <w:t>estimates</w:t>
      </w:r>
      <w:proofErr w:type="gramEnd"/>
      <w:r w:rsidR="00653ACB">
        <w:t xml:space="preserve"> from different equipment types were estimated per day based on the different well types constructed during 2017.</w:t>
      </w:r>
    </w:p>
    <w:p w14:paraId="6226AD11" w14:textId="21D35965" w:rsidR="00D96EBD" w:rsidRPr="001A1945" w:rsidRDefault="00964CD0" w:rsidP="00DC3E3F">
      <w:pPr>
        <w:pStyle w:val="Heading4"/>
      </w:pPr>
      <w:r w:rsidRPr="001A1945">
        <w:t>SMOKE</w:t>
      </w:r>
      <w:r w:rsidR="00300125" w:rsidRPr="001A1945">
        <w:t xml:space="preserve"> Emissions Model and Processor</w:t>
      </w:r>
    </w:p>
    <w:p w14:paraId="3DE6118C" w14:textId="2ABC85DE" w:rsidR="00D96EBD" w:rsidRDefault="00605230" w:rsidP="00883DAA">
      <w:pPr>
        <w:rPr>
          <w:rFonts w:eastAsia="Times New Roman"/>
        </w:rPr>
      </w:pPr>
      <w:r>
        <w:rPr>
          <w:spacing w:val="1"/>
        </w:rPr>
        <w:t>U</w:t>
      </w:r>
      <w:r w:rsidR="00964CD0" w:rsidRPr="001A1945">
        <w:rPr>
          <w:spacing w:val="1"/>
        </w:rPr>
        <w:t>D</w:t>
      </w:r>
      <w:r w:rsidR="00964CD0" w:rsidRPr="001A1945">
        <w:rPr>
          <w:spacing w:val="-1"/>
        </w:rPr>
        <w:t>A</w:t>
      </w:r>
      <w:r w:rsidR="00964CD0" w:rsidRPr="001A1945">
        <w:t>Q</w:t>
      </w:r>
      <w:r w:rsidR="00964CD0" w:rsidRPr="001A1945">
        <w:rPr>
          <w:spacing w:val="1"/>
        </w:rPr>
        <w:t xml:space="preserve"> </w:t>
      </w:r>
      <w:r w:rsidR="00964CD0" w:rsidRPr="001A1945">
        <w:rPr>
          <w:spacing w:val="-1"/>
        </w:rPr>
        <w:t>u</w:t>
      </w:r>
      <w:r w:rsidR="00964CD0" w:rsidRPr="001A1945">
        <w:rPr>
          <w:spacing w:val="-2"/>
        </w:rPr>
        <w:t>s</w:t>
      </w:r>
      <w:r w:rsidR="00964CD0" w:rsidRPr="001A1945">
        <w:rPr>
          <w:spacing w:val="1"/>
        </w:rPr>
        <w:t>e</w:t>
      </w:r>
      <w:r w:rsidR="00964CD0" w:rsidRPr="001A1945">
        <w:t>d SMOKE (Sparse Matrix Operator Kernel Emissions) v</w:t>
      </w:r>
      <w:r w:rsidR="000C5B36">
        <w:rPr>
          <w:spacing w:val="1"/>
        </w:rPr>
        <w:t>4.7</w:t>
      </w:r>
      <w:r w:rsidR="00964CD0" w:rsidRPr="001A1945">
        <w:rPr>
          <w:spacing w:val="1"/>
        </w:rPr>
        <w:t xml:space="preserve"> emissions processing software to prepare this inventory</w:t>
      </w:r>
      <w:r w:rsidR="00964CD0" w:rsidRPr="001A1945">
        <w:t xml:space="preserve"> in order to normalize all emissions into tons-per-day and to extract inventories specific to the each NAA. </w:t>
      </w:r>
      <w:r w:rsidR="00300125" w:rsidRPr="001A1945">
        <w:rPr>
          <w:rFonts w:eastAsia="Times New Roman"/>
        </w:rPr>
        <w:t>SMOKE</w:t>
      </w:r>
      <w:r w:rsidR="00964CD0" w:rsidRPr="001A1945">
        <w:rPr>
          <w:rFonts w:eastAsia="Times New Roman"/>
        </w:rPr>
        <w:t xml:space="preserve"> </w:t>
      </w:r>
      <w:r w:rsidR="00300125" w:rsidRPr="001A1945">
        <w:rPr>
          <w:rFonts w:eastAsia="Times New Roman"/>
        </w:rPr>
        <w:t>takes the annual, county</w:t>
      </w:r>
      <w:r w:rsidR="00261570">
        <w:rPr>
          <w:rFonts w:eastAsia="Times New Roman"/>
        </w:rPr>
        <w:t>-</w:t>
      </w:r>
      <w:r w:rsidR="00300125" w:rsidRPr="001A1945">
        <w:rPr>
          <w:rFonts w:eastAsia="Times New Roman"/>
        </w:rPr>
        <w:t>wide emissions inventor</w:t>
      </w:r>
      <w:r w:rsidR="00FD26F3">
        <w:rPr>
          <w:rFonts w:eastAsia="Times New Roman"/>
        </w:rPr>
        <w:t>ies</w:t>
      </w:r>
      <w:r w:rsidR="00300125" w:rsidRPr="001A1945">
        <w:rPr>
          <w:rFonts w:eastAsia="Times New Roman"/>
        </w:rPr>
        <w:t xml:space="preserve"> prepared by UDAQ and reformulates </w:t>
      </w:r>
      <w:r>
        <w:rPr>
          <w:rFonts w:eastAsia="Times New Roman"/>
        </w:rPr>
        <w:t>them</w:t>
      </w:r>
      <w:r w:rsidR="00300125" w:rsidRPr="001A1945">
        <w:rPr>
          <w:rFonts w:eastAsia="Times New Roman"/>
        </w:rPr>
        <w:t xml:space="preserve"> for use </w:t>
      </w:r>
      <w:r>
        <w:rPr>
          <w:rFonts w:eastAsia="Times New Roman"/>
        </w:rPr>
        <w:t>in</w:t>
      </w:r>
      <w:r w:rsidR="00300125" w:rsidRPr="001A1945">
        <w:rPr>
          <w:rFonts w:eastAsia="Times New Roman"/>
        </w:rPr>
        <w:t xml:space="preserve"> the air quality model.</w:t>
      </w:r>
      <w:r w:rsidR="00D47ED8">
        <w:rPr>
          <w:rFonts w:eastAsia="Times New Roman"/>
        </w:rPr>
        <w:t xml:space="preserve"> The reformulation includes</w:t>
      </w:r>
      <w:r w:rsidR="00300125" w:rsidRPr="001A1945">
        <w:rPr>
          <w:rFonts w:eastAsia="Times New Roman"/>
        </w:rPr>
        <w:t xml:space="preserve"> temporal processing, spatial processing, and speciation.  Temporal processing converts emissions from annual to daily and hourly</w:t>
      </w:r>
      <w:r w:rsidR="00300125" w:rsidRPr="00B43958">
        <w:rPr>
          <w:rFonts w:eastAsia="Times New Roman"/>
        </w:rPr>
        <w:t xml:space="preserve"> values.</w:t>
      </w:r>
      <w:r w:rsidR="001E271D">
        <w:rPr>
          <w:rFonts w:eastAsia="Times New Roman"/>
        </w:rPr>
        <w:t xml:space="preserve"> </w:t>
      </w:r>
      <w:r w:rsidR="00300125" w:rsidRPr="00B43958">
        <w:rPr>
          <w:rFonts w:eastAsia="Times New Roman"/>
        </w:rPr>
        <w:t>Spatial processing locates emissions from the county to specific grid cells within the modeling domain.</w:t>
      </w:r>
      <w:r w:rsidR="001E271D">
        <w:rPr>
          <w:rFonts w:eastAsia="Times New Roman"/>
        </w:rPr>
        <w:t xml:space="preserve"> </w:t>
      </w:r>
      <w:r w:rsidR="00300125" w:rsidRPr="00B43958">
        <w:rPr>
          <w:rFonts w:eastAsia="Times New Roman"/>
        </w:rPr>
        <w:t>Speciation breaks VOC emissions into their component subspecies</w:t>
      </w:r>
      <w:r w:rsidR="0078438C">
        <w:rPr>
          <w:rFonts w:eastAsia="Times New Roman"/>
        </w:rPr>
        <w:t xml:space="preserve">, which will </w:t>
      </w:r>
      <w:r w:rsidR="001E271D">
        <w:rPr>
          <w:rFonts w:eastAsia="Times New Roman"/>
        </w:rPr>
        <w:t xml:space="preserve">eventually be </w:t>
      </w:r>
      <w:r w:rsidR="0078438C">
        <w:rPr>
          <w:rFonts w:eastAsia="Times New Roman"/>
        </w:rPr>
        <w:t xml:space="preserve">necessary for </w:t>
      </w:r>
      <w:r w:rsidR="001E271D">
        <w:rPr>
          <w:rFonts w:eastAsia="Times New Roman"/>
        </w:rPr>
        <w:t xml:space="preserve">photochemical </w:t>
      </w:r>
      <w:r w:rsidR="0078438C">
        <w:rPr>
          <w:rFonts w:eastAsia="Times New Roman"/>
        </w:rPr>
        <w:t>ozone modeling.</w:t>
      </w:r>
    </w:p>
    <w:p w14:paraId="5D0288D9" w14:textId="55DE3CB1" w:rsidR="00DC3E3F" w:rsidRDefault="004D4557" w:rsidP="00DC3E3F">
      <w:pPr>
        <w:pStyle w:val="Heading4"/>
      </w:pPr>
      <w:r>
        <w:t xml:space="preserve">UB NAA </w:t>
      </w:r>
      <w:r w:rsidR="009F3ACD">
        <w:t xml:space="preserve">Ozone Season </w:t>
      </w:r>
      <w:r w:rsidR="00F15A42">
        <w:t>Day Emissions</w:t>
      </w:r>
      <w:r w:rsidR="00DC3E3F">
        <w:t xml:space="preserve"> in Tons Per Day</w:t>
      </w:r>
      <w:r w:rsidR="00870C3D">
        <w:t xml:space="preserve"> </w:t>
      </w:r>
    </w:p>
    <w:p w14:paraId="00104D6C" w14:textId="1F116DB6" w:rsidR="00870C3D" w:rsidRDefault="00CF116C" w:rsidP="00870C3D">
      <w:pPr>
        <w:rPr>
          <w:rFonts w:cs="Times New Roman"/>
        </w:rPr>
      </w:pPr>
      <w:r w:rsidRPr="00CF116C">
        <w:rPr>
          <w:rFonts w:cs="Times New Roman"/>
        </w:rPr>
        <w:lastRenderedPageBreak/>
        <w:t xml:space="preserve">Jurisdictional issues complicate air pollution regulation in the </w:t>
      </w:r>
      <w:r w:rsidR="00763864">
        <w:rPr>
          <w:rFonts w:cs="Times New Roman"/>
        </w:rPr>
        <w:t>UB</w:t>
      </w:r>
      <w:r w:rsidRPr="00CF116C">
        <w:rPr>
          <w:rFonts w:cs="Times New Roman"/>
        </w:rPr>
        <w:t xml:space="preserve">. Energy production areas are scattered over federal, state, and tribal lands. Each of these agencies has jurisdiction over the production areas located on their respective lands. </w:t>
      </w:r>
      <w:r w:rsidR="000542C8">
        <w:rPr>
          <w:rFonts w:cs="Times New Roman"/>
        </w:rPr>
        <w:t xml:space="preserve">This </w:t>
      </w:r>
      <w:r w:rsidRPr="00CF116C">
        <w:rPr>
          <w:rFonts w:cs="Times New Roman"/>
        </w:rPr>
        <w:t>inventory represents emission</w:t>
      </w:r>
      <w:r w:rsidR="002B4B6B">
        <w:rPr>
          <w:rFonts w:cs="Times New Roman"/>
        </w:rPr>
        <w:t>s</w:t>
      </w:r>
      <w:r w:rsidRPr="00CF116C">
        <w:rPr>
          <w:rFonts w:cs="Times New Roman"/>
        </w:rPr>
        <w:t xml:space="preserve"> from State land only in the UB NAA.</w:t>
      </w:r>
    </w:p>
    <w:p w14:paraId="2B45575D" w14:textId="77777777" w:rsidR="00763864" w:rsidRDefault="00763864" w:rsidP="00870C3D">
      <w:pPr>
        <w:rPr>
          <w:rFonts w:cs="Times New Roman"/>
        </w:rPr>
      </w:pPr>
    </w:p>
    <w:tbl>
      <w:tblPr>
        <w:tblW w:w="6120" w:type="dxa"/>
        <w:tblLook w:val="04A0" w:firstRow="1" w:lastRow="0" w:firstColumn="1" w:lastColumn="0" w:noHBand="0" w:noVBand="1"/>
      </w:tblPr>
      <w:tblGrid>
        <w:gridCol w:w="2701"/>
        <w:gridCol w:w="1093"/>
        <w:gridCol w:w="1093"/>
        <w:gridCol w:w="1233"/>
      </w:tblGrid>
      <w:tr w:rsidR="00763864" w:rsidRPr="00763864" w14:paraId="42E4586E" w14:textId="77777777" w:rsidTr="00763864">
        <w:trPr>
          <w:trHeight w:val="288"/>
        </w:trPr>
        <w:tc>
          <w:tcPr>
            <w:tcW w:w="2701" w:type="dxa"/>
            <w:tcBorders>
              <w:top w:val="single" w:sz="4" w:space="0" w:color="auto"/>
              <w:left w:val="nil"/>
              <w:bottom w:val="single" w:sz="4" w:space="0" w:color="auto"/>
              <w:right w:val="nil"/>
            </w:tcBorders>
            <w:shd w:val="clear" w:color="000000" w:fill="D9D9D9"/>
            <w:noWrap/>
            <w:vAlign w:val="bottom"/>
            <w:hideMark/>
          </w:tcPr>
          <w:p w14:paraId="3EB41494" w14:textId="77777777" w:rsidR="00763864" w:rsidRPr="00763864" w:rsidRDefault="00763864" w:rsidP="00763864">
            <w:pPr>
              <w:rPr>
                <w:rFonts w:ascii="Calibri" w:eastAsia="Times New Roman" w:hAnsi="Calibri"/>
                <w:color w:val="000000"/>
              </w:rPr>
            </w:pPr>
            <w:r w:rsidRPr="00763864">
              <w:rPr>
                <w:rFonts w:ascii="Calibri" w:eastAsia="Times New Roman" w:hAnsi="Calibri"/>
                <w:color w:val="000000"/>
              </w:rPr>
              <w:t> </w:t>
            </w:r>
          </w:p>
        </w:tc>
        <w:tc>
          <w:tcPr>
            <w:tcW w:w="3419" w:type="dxa"/>
            <w:gridSpan w:val="3"/>
            <w:tcBorders>
              <w:top w:val="single" w:sz="4" w:space="0" w:color="auto"/>
              <w:left w:val="nil"/>
              <w:bottom w:val="single" w:sz="4" w:space="0" w:color="auto"/>
              <w:right w:val="nil"/>
            </w:tcBorders>
            <w:shd w:val="clear" w:color="000000" w:fill="D9D9D9"/>
            <w:noWrap/>
            <w:vAlign w:val="bottom"/>
            <w:hideMark/>
          </w:tcPr>
          <w:p w14:paraId="1D8643D1"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2017 Emissions (tons per day)</w:t>
            </w:r>
          </w:p>
        </w:tc>
      </w:tr>
      <w:tr w:rsidR="00763864" w:rsidRPr="00763864" w14:paraId="76774A51" w14:textId="77777777" w:rsidTr="00763864">
        <w:trPr>
          <w:trHeight w:val="288"/>
        </w:trPr>
        <w:tc>
          <w:tcPr>
            <w:tcW w:w="2701" w:type="dxa"/>
            <w:tcBorders>
              <w:top w:val="nil"/>
              <w:left w:val="nil"/>
              <w:bottom w:val="single" w:sz="4" w:space="0" w:color="auto"/>
              <w:right w:val="nil"/>
            </w:tcBorders>
            <w:shd w:val="clear" w:color="000000" w:fill="D9D9D9"/>
            <w:noWrap/>
            <w:vAlign w:val="bottom"/>
            <w:hideMark/>
          </w:tcPr>
          <w:p w14:paraId="4D2153F2"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Sector</w:t>
            </w:r>
          </w:p>
        </w:tc>
        <w:tc>
          <w:tcPr>
            <w:tcW w:w="1093" w:type="dxa"/>
            <w:tcBorders>
              <w:top w:val="nil"/>
              <w:left w:val="nil"/>
              <w:bottom w:val="single" w:sz="4" w:space="0" w:color="auto"/>
              <w:right w:val="nil"/>
            </w:tcBorders>
            <w:shd w:val="clear" w:color="000000" w:fill="D9D9D9"/>
            <w:noWrap/>
            <w:vAlign w:val="bottom"/>
            <w:hideMark/>
          </w:tcPr>
          <w:p w14:paraId="129E388B"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NOx</w:t>
            </w:r>
          </w:p>
        </w:tc>
        <w:tc>
          <w:tcPr>
            <w:tcW w:w="1093" w:type="dxa"/>
            <w:tcBorders>
              <w:top w:val="nil"/>
              <w:left w:val="nil"/>
              <w:bottom w:val="single" w:sz="4" w:space="0" w:color="auto"/>
              <w:right w:val="nil"/>
            </w:tcBorders>
            <w:shd w:val="clear" w:color="000000" w:fill="D9D9D9"/>
            <w:noWrap/>
            <w:vAlign w:val="bottom"/>
            <w:hideMark/>
          </w:tcPr>
          <w:p w14:paraId="5AEBE6DD"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VOC</w:t>
            </w:r>
          </w:p>
        </w:tc>
        <w:tc>
          <w:tcPr>
            <w:tcW w:w="1233" w:type="dxa"/>
            <w:tcBorders>
              <w:top w:val="nil"/>
              <w:left w:val="nil"/>
              <w:bottom w:val="single" w:sz="4" w:space="0" w:color="auto"/>
              <w:right w:val="nil"/>
            </w:tcBorders>
            <w:shd w:val="clear" w:color="000000" w:fill="D9D9D9"/>
            <w:noWrap/>
            <w:vAlign w:val="bottom"/>
            <w:hideMark/>
          </w:tcPr>
          <w:p w14:paraId="2704993C"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CO</w:t>
            </w:r>
          </w:p>
        </w:tc>
      </w:tr>
      <w:tr w:rsidR="00763864" w:rsidRPr="00763864" w14:paraId="708F487F"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596AF61E"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Area Sources</w:t>
            </w:r>
          </w:p>
        </w:tc>
        <w:tc>
          <w:tcPr>
            <w:tcW w:w="1093" w:type="dxa"/>
            <w:tcBorders>
              <w:top w:val="nil"/>
              <w:left w:val="nil"/>
              <w:bottom w:val="single" w:sz="4" w:space="0" w:color="auto"/>
              <w:right w:val="nil"/>
            </w:tcBorders>
            <w:shd w:val="clear" w:color="auto" w:fill="auto"/>
            <w:noWrap/>
            <w:vAlign w:val="bottom"/>
            <w:hideMark/>
          </w:tcPr>
          <w:p w14:paraId="7770BDED"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0.21</w:t>
            </w:r>
          </w:p>
        </w:tc>
        <w:tc>
          <w:tcPr>
            <w:tcW w:w="1093" w:type="dxa"/>
            <w:tcBorders>
              <w:top w:val="nil"/>
              <w:left w:val="nil"/>
              <w:bottom w:val="single" w:sz="4" w:space="0" w:color="auto"/>
              <w:right w:val="nil"/>
            </w:tcBorders>
            <w:shd w:val="clear" w:color="auto" w:fill="auto"/>
            <w:noWrap/>
            <w:vAlign w:val="bottom"/>
            <w:hideMark/>
          </w:tcPr>
          <w:p w14:paraId="3B3335EB"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1.56</w:t>
            </w:r>
          </w:p>
        </w:tc>
        <w:tc>
          <w:tcPr>
            <w:tcW w:w="1233" w:type="dxa"/>
            <w:tcBorders>
              <w:top w:val="nil"/>
              <w:left w:val="nil"/>
              <w:bottom w:val="single" w:sz="4" w:space="0" w:color="auto"/>
              <w:right w:val="nil"/>
            </w:tcBorders>
            <w:shd w:val="clear" w:color="auto" w:fill="auto"/>
            <w:noWrap/>
            <w:vAlign w:val="bottom"/>
            <w:hideMark/>
          </w:tcPr>
          <w:p w14:paraId="36A845EC"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0.56</w:t>
            </w:r>
          </w:p>
        </w:tc>
      </w:tr>
      <w:tr w:rsidR="00763864" w:rsidRPr="00763864" w14:paraId="2D1E2664"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43DD2134"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Mobile Sources</w:t>
            </w:r>
          </w:p>
        </w:tc>
        <w:tc>
          <w:tcPr>
            <w:tcW w:w="1093" w:type="dxa"/>
            <w:tcBorders>
              <w:top w:val="nil"/>
              <w:left w:val="nil"/>
              <w:bottom w:val="single" w:sz="4" w:space="0" w:color="auto"/>
              <w:right w:val="nil"/>
            </w:tcBorders>
            <w:shd w:val="clear" w:color="auto" w:fill="auto"/>
            <w:noWrap/>
            <w:vAlign w:val="bottom"/>
            <w:hideMark/>
          </w:tcPr>
          <w:p w14:paraId="154FA57B"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3.24</w:t>
            </w:r>
          </w:p>
        </w:tc>
        <w:tc>
          <w:tcPr>
            <w:tcW w:w="1093" w:type="dxa"/>
            <w:tcBorders>
              <w:top w:val="nil"/>
              <w:left w:val="nil"/>
              <w:bottom w:val="single" w:sz="4" w:space="0" w:color="auto"/>
              <w:right w:val="nil"/>
            </w:tcBorders>
            <w:shd w:val="clear" w:color="auto" w:fill="auto"/>
            <w:noWrap/>
            <w:vAlign w:val="bottom"/>
            <w:hideMark/>
          </w:tcPr>
          <w:p w14:paraId="2B8C0E24"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1.22</w:t>
            </w:r>
          </w:p>
        </w:tc>
        <w:tc>
          <w:tcPr>
            <w:tcW w:w="1233" w:type="dxa"/>
            <w:tcBorders>
              <w:top w:val="nil"/>
              <w:left w:val="nil"/>
              <w:bottom w:val="single" w:sz="4" w:space="0" w:color="auto"/>
              <w:right w:val="nil"/>
            </w:tcBorders>
            <w:shd w:val="clear" w:color="auto" w:fill="auto"/>
            <w:noWrap/>
            <w:vAlign w:val="bottom"/>
            <w:hideMark/>
          </w:tcPr>
          <w:p w14:paraId="3707463B"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11.64</w:t>
            </w:r>
          </w:p>
        </w:tc>
      </w:tr>
      <w:tr w:rsidR="00763864" w:rsidRPr="00763864" w14:paraId="26BD24EC"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78B3A5D0"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Non-Road Sources</w:t>
            </w:r>
          </w:p>
        </w:tc>
        <w:tc>
          <w:tcPr>
            <w:tcW w:w="1093" w:type="dxa"/>
            <w:tcBorders>
              <w:top w:val="nil"/>
              <w:left w:val="nil"/>
              <w:bottom w:val="single" w:sz="4" w:space="0" w:color="auto"/>
              <w:right w:val="nil"/>
            </w:tcBorders>
            <w:shd w:val="clear" w:color="auto" w:fill="auto"/>
            <w:noWrap/>
            <w:vAlign w:val="bottom"/>
            <w:hideMark/>
          </w:tcPr>
          <w:p w14:paraId="1EED1473"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0.1</w:t>
            </w:r>
          </w:p>
        </w:tc>
        <w:tc>
          <w:tcPr>
            <w:tcW w:w="1093" w:type="dxa"/>
            <w:tcBorders>
              <w:top w:val="nil"/>
              <w:left w:val="nil"/>
              <w:bottom w:val="single" w:sz="4" w:space="0" w:color="auto"/>
              <w:right w:val="nil"/>
            </w:tcBorders>
            <w:shd w:val="clear" w:color="auto" w:fill="auto"/>
            <w:noWrap/>
            <w:vAlign w:val="bottom"/>
            <w:hideMark/>
          </w:tcPr>
          <w:p w14:paraId="08364B3C"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0.11</w:t>
            </w:r>
          </w:p>
        </w:tc>
        <w:tc>
          <w:tcPr>
            <w:tcW w:w="1233" w:type="dxa"/>
            <w:tcBorders>
              <w:top w:val="nil"/>
              <w:left w:val="nil"/>
              <w:bottom w:val="single" w:sz="4" w:space="0" w:color="auto"/>
              <w:right w:val="nil"/>
            </w:tcBorders>
            <w:shd w:val="clear" w:color="auto" w:fill="auto"/>
            <w:noWrap/>
            <w:vAlign w:val="bottom"/>
            <w:hideMark/>
          </w:tcPr>
          <w:p w14:paraId="25F0ECE7"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1.39</w:t>
            </w:r>
          </w:p>
        </w:tc>
      </w:tr>
      <w:tr w:rsidR="00763864" w:rsidRPr="00763864" w14:paraId="1D4B9822"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413E44C1"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Point Sources</w:t>
            </w:r>
          </w:p>
        </w:tc>
        <w:tc>
          <w:tcPr>
            <w:tcW w:w="1093" w:type="dxa"/>
            <w:tcBorders>
              <w:top w:val="nil"/>
              <w:left w:val="nil"/>
              <w:bottom w:val="single" w:sz="4" w:space="0" w:color="auto"/>
              <w:right w:val="nil"/>
            </w:tcBorders>
            <w:shd w:val="clear" w:color="auto" w:fill="auto"/>
            <w:noWrap/>
            <w:vAlign w:val="bottom"/>
            <w:hideMark/>
          </w:tcPr>
          <w:p w14:paraId="0CE083D9"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1.07</w:t>
            </w:r>
          </w:p>
        </w:tc>
        <w:tc>
          <w:tcPr>
            <w:tcW w:w="1093" w:type="dxa"/>
            <w:tcBorders>
              <w:top w:val="nil"/>
              <w:left w:val="nil"/>
              <w:bottom w:val="single" w:sz="4" w:space="0" w:color="auto"/>
              <w:right w:val="nil"/>
            </w:tcBorders>
            <w:shd w:val="clear" w:color="auto" w:fill="auto"/>
            <w:noWrap/>
            <w:vAlign w:val="bottom"/>
            <w:hideMark/>
          </w:tcPr>
          <w:p w14:paraId="1C2EC63E"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0.73</w:t>
            </w:r>
          </w:p>
        </w:tc>
        <w:tc>
          <w:tcPr>
            <w:tcW w:w="1233" w:type="dxa"/>
            <w:tcBorders>
              <w:top w:val="nil"/>
              <w:left w:val="nil"/>
              <w:bottom w:val="single" w:sz="4" w:space="0" w:color="auto"/>
              <w:right w:val="nil"/>
            </w:tcBorders>
            <w:shd w:val="clear" w:color="auto" w:fill="auto"/>
            <w:noWrap/>
            <w:vAlign w:val="bottom"/>
            <w:hideMark/>
          </w:tcPr>
          <w:p w14:paraId="49780B05"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0.18</w:t>
            </w:r>
          </w:p>
        </w:tc>
      </w:tr>
      <w:tr w:rsidR="00763864" w:rsidRPr="00763864" w14:paraId="4C64A7F9"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7818179B"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Oil &amp; Gas</w:t>
            </w:r>
          </w:p>
        </w:tc>
        <w:tc>
          <w:tcPr>
            <w:tcW w:w="1093" w:type="dxa"/>
            <w:tcBorders>
              <w:top w:val="nil"/>
              <w:left w:val="nil"/>
              <w:bottom w:val="single" w:sz="4" w:space="0" w:color="auto"/>
              <w:right w:val="nil"/>
            </w:tcBorders>
            <w:shd w:val="clear" w:color="auto" w:fill="auto"/>
            <w:noWrap/>
            <w:vAlign w:val="bottom"/>
            <w:hideMark/>
          </w:tcPr>
          <w:p w14:paraId="4F4E8B8B"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10.61</w:t>
            </w:r>
          </w:p>
        </w:tc>
        <w:tc>
          <w:tcPr>
            <w:tcW w:w="1093" w:type="dxa"/>
            <w:tcBorders>
              <w:top w:val="nil"/>
              <w:left w:val="nil"/>
              <w:bottom w:val="single" w:sz="4" w:space="0" w:color="auto"/>
              <w:right w:val="nil"/>
            </w:tcBorders>
            <w:shd w:val="clear" w:color="auto" w:fill="auto"/>
            <w:noWrap/>
            <w:vAlign w:val="bottom"/>
            <w:hideMark/>
          </w:tcPr>
          <w:p w14:paraId="134C459D"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37.41</w:t>
            </w:r>
          </w:p>
        </w:tc>
        <w:tc>
          <w:tcPr>
            <w:tcW w:w="1233" w:type="dxa"/>
            <w:tcBorders>
              <w:top w:val="nil"/>
              <w:left w:val="nil"/>
              <w:bottom w:val="single" w:sz="4" w:space="0" w:color="auto"/>
              <w:right w:val="nil"/>
            </w:tcBorders>
            <w:shd w:val="clear" w:color="auto" w:fill="auto"/>
            <w:noWrap/>
            <w:vAlign w:val="bottom"/>
            <w:hideMark/>
          </w:tcPr>
          <w:p w14:paraId="70176403" w14:textId="77777777" w:rsidR="00763864" w:rsidRPr="00763864" w:rsidRDefault="00763864" w:rsidP="00763864">
            <w:pPr>
              <w:jc w:val="center"/>
              <w:rPr>
                <w:rFonts w:ascii="Arial" w:eastAsia="Times New Roman" w:hAnsi="Arial" w:cs="Arial"/>
                <w:color w:val="000000"/>
              </w:rPr>
            </w:pPr>
            <w:r w:rsidRPr="00763864">
              <w:rPr>
                <w:rFonts w:ascii="Arial" w:eastAsia="Times New Roman" w:hAnsi="Arial" w:cs="Arial"/>
                <w:color w:val="000000"/>
              </w:rPr>
              <w:t>11.14</w:t>
            </w:r>
          </w:p>
        </w:tc>
      </w:tr>
      <w:tr w:rsidR="00763864" w:rsidRPr="00763864" w14:paraId="68A521EA" w14:textId="77777777" w:rsidTr="00763864">
        <w:trPr>
          <w:trHeight w:val="288"/>
        </w:trPr>
        <w:tc>
          <w:tcPr>
            <w:tcW w:w="2701" w:type="dxa"/>
            <w:tcBorders>
              <w:top w:val="nil"/>
              <w:left w:val="nil"/>
              <w:bottom w:val="single" w:sz="4" w:space="0" w:color="auto"/>
              <w:right w:val="nil"/>
            </w:tcBorders>
            <w:shd w:val="clear" w:color="auto" w:fill="auto"/>
            <w:noWrap/>
            <w:vAlign w:val="bottom"/>
            <w:hideMark/>
          </w:tcPr>
          <w:p w14:paraId="4C8CD00D" w14:textId="77777777" w:rsidR="00763864" w:rsidRPr="00763864" w:rsidRDefault="00763864" w:rsidP="00763864">
            <w:pPr>
              <w:rPr>
                <w:rFonts w:ascii="Arial" w:eastAsia="Times New Roman" w:hAnsi="Arial" w:cs="Arial"/>
                <w:b/>
                <w:bCs/>
                <w:color w:val="000000"/>
              </w:rPr>
            </w:pPr>
            <w:r w:rsidRPr="00763864">
              <w:rPr>
                <w:rFonts w:ascii="Arial" w:eastAsia="Times New Roman" w:hAnsi="Arial" w:cs="Arial"/>
                <w:b/>
                <w:bCs/>
                <w:color w:val="000000"/>
              </w:rPr>
              <w:t>Total</w:t>
            </w:r>
          </w:p>
        </w:tc>
        <w:tc>
          <w:tcPr>
            <w:tcW w:w="1093" w:type="dxa"/>
            <w:tcBorders>
              <w:top w:val="nil"/>
              <w:left w:val="nil"/>
              <w:bottom w:val="single" w:sz="4" w:space="0" w:color="auto"/>
              <w:right w:val="nil"/>
            </w:tcBorders>
            <w:shd w:val="clear" w:color="auto" w:fill="auto"/>
            <w:noWrap/>
            <w:vAlign w:val="bottom"/>
            <w:hideMark/>
          </w:tcPr>
          <w:p w14:paraId="51165F55"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15.23</w:t>
            </w:r>
          </w:p>
        </w:tc>
        <w:tc>
          <w:tcPr>
            <w:tcW w:w="1093" w:type="dxa"/>
            <w:tcBorders>
              <w:top w:val="nil"/>
              <w:left w:val="nil"/>
              <w:bottom w:val="single" w:sz="4" w:space="0" w:color="auto"/>
              <w:right w:val="nil"/>
            </w:tcBorders>
            <w:shd w:val="clear" w:color="auto" w:fill="auto"/>
            <w:noWrap/>
            <w:vAlign w:val="bottom"/>
            <w:hideMark/>
          </w:tcPr>
          <w:p w14:paraId="62542D33"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41.03</w:t>
            </w:r>
          </w:p>
        </w:tc>
        <w:tc>
          <w:tcPr>
            <w:tcW w:w="1233" w:type="dxa"/>
            <w:tcBorders>
              <w:top w:val="nil"/>
              <w:left w:val="nil"/>
              <w:bottom w:val="single" w:sz="4" w:space="0" w:color="auto"/>
              <w:right w:val="nil"/>
            </w:tcBorders>
            <w:shd w:val="clear" w:color="auto" w:fill="auto"/>
            <w:noWrap/>
            <w:vAlign w:val="bottom"/>
            <w:hideMark/>
          </w:tcPr>
          <w:p w14:paraId="5256D7E4" w14:textId="77777777" w:rsidR="00763864" w:rsidRPr="00763864" w:rsidRDefault="00763864" w:rsidP="00763864">
            <w:pPr>
              <w:jc w:val="center"/>
              <w:rPr>
                <w:rFonts w:ascii="Arial" w:eastAsia="Times New Roman" w:hAnsi="Arial" w:cs="Arial"/>
                <w:b/>
                <w:bCs/>
                <w:color w:val="000000"/>
              </w:rPr>
            </w:pPr>
            <w:r w:rsidRPr="00763864">
              <w:rPr>
                <w:rFonts w:ascii="Arial" w:eastAsia="Times New Roman" w:hAnsi="Arial" w:cs="Arial"/>
                <w:b/>
                <w:bCs/>
                <w:color w:val="000000"/>
              </w:rPr>
              <w:t>24.91</w:t>
            </w:r>
          </w:p>
        </w:tc>
      </w:tr>
    </w:tbl>
    <w:p w14:paraId="0454F60D" w14:textId="77777777" w:rsidR="00763864" w:rsidRDefault="00763864" w:rsidP="002928DD">
      <w:pPr>
        <w:pStyle w:val="Caption"/>
      </w:pPr>
    </w:p>
    <w:p w14:paraId="4FEC7618" w14:textId="695A9B1C" w:rsidR="00E80FD9" w:rsidRPr="00E80FD9" w:rsidRDefault="002928DD" w:rsidP="002928DD">
      <w:pPr>
        <w:pStyle w:val="Caption"/>
      </w:pPr>
      <w:r>
        <w:t>Table 3: U</w:t>
      </w:r>
      <w:r w:rsidR="00BD23D2">
        <w:t>B NAA State Land</w:t>
      </w:r>
      <w:r>
        <w:t xml:space="preserve"> Ozone Season Day Emissions</w:t>
      </w:r>
    </w:p>
    <w:sectPr w:rsidR="00E80FD9" w:rsidRPr="00E80FD9">
      <w:headerReference w:type="default" r:id="rId11"/>
      <w:footerReference w:type="defaul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1052" w16cex:dateUtc="2020-06-10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6DBA" w14:textId="77777777" w:rsidR="00F83557" w:rsidRDefault="00F83557">
      <w:r>
        <w:separator/>
      </w:r>
    </w:p>
  </w:endnote>
  <w:endnote w:type="continuationSeparator" w:id="0">
    <w:p w14:paraId="1F89C3A5" w14:textId="77777777" w:rsidR="00F83557" w:rsidRDefault="00F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376C" w14:textId="77777777" w:rsidR="00EE527E" w:rsidRDefault="00EE52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D99A" w14:textId="77777777" w:rsidR="00F83557" w:rsidRDefault="00F83557">
      <w:r>
        <w:separator/>
      </w:r>
    </w:p>
  </w:footnote>
  <w:footnote w:type="continuationSeparator" w:id="0">
    <w:p w14:paraId="4E60FEC1" w14:textId="77777777" w:rsidR="00F83557" w:rsidRDefault="00F8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A39F" w14:textId="77777777" w:rsidR="00EE527E" w:rsidRDefault="00EE52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4E9A"/>
    <w:multiLevelType w:val="hybridMultilevel"/>
    <w:tmpl w:val="42CE5446"/>
    <w:lvl w:ilvl="0" w:tplc="EBF0DC76">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3E4D"/>
    <w:multiLevelType w:val="multilevel"/>
    <w:tmpl w:val="7DD6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6B57F9"/>
    <w:multiLevelType w:val="hybridMultilevel"/>
    <w:tmpl w:val="7378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4FB"/>
    <w:multiLevelType w:val="hybridMultilevel"/>
    <w:tmpl w:val="71B8291A"/>
    <w:lvl w:ilvl="0" w:tplc="A380E8A6">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F32EB"/>
    <w:multiLevelType w:val="hybridMultilevel"/>
    <w:tmpl w:val="231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80D37"/>
    <w:multiLevelType w:val="hybridMultilevel"/>
    <w:tmpl w:val="2F6208E2"/>
    <w:lvl w:ilvl="0" w:tplc="E85E20CE">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BD"/>
    <w:rsid w:val="00000E72"/>
    <w:rsid w:val="00014507"/>
    <w:rsid w:val="000454A8"/>
    <w:rsid w:val="00045A3E"/>
    <w:rsid w:val="000542C8"/>
    <w:rsid w:val="000800D2"/>
    <w:rsid w:val="00085162"/>
    <w:rsid w:val="000862D9"/>
    <w:rsid w:val="00087C43"/>
    <w:rsid w:val="00090347"/>
    <w:rsid w:val="000927E4"/>
    <w:rsid w:val="000A008B"/>
    <w:rsid w:val="000B2E74"/>
    <w:rsid w:val="000C26F1"/>
    <w:rsid w:val="000C5B36"/>
    <w:rsid w:val="000D5370"/>
    <w:rsid w:val="000D671D"/>
    <w:rsid w:val="000E31FA"/>
    <w:rsid w:val="000E4F0A"/>
    <w:rsid w:val="001211EE"/>
    <w:rsid w:val="0012581A"/>
    <w:rsid w:val="001454A0"/>
    <w:rsid w:val="001522E6"/>
    <w:rsid w:val="00160CF3"/>
    <w:rsid w:val="00172C19"/>
    <w:rsid w:val="00183801"/>
    <w:rsid w:val="001A1945"/>
    <w:rsid w:val="001B16F8"/>
    <w:rsid w:val="001C50D3"/>
    <w:rsid w:val="001D4C89"/>
    <w:rsid w:val="001D7035"/>
    <w:rsid w:val="001E271D"/>
    <w:rsid w:val="001E51A3"/>
    <w:rsid w:val="001F107F"/>
    <w:rsid w:val="001F2383"/>
    <w:rsid w:val="00251020"/>
    <w:rsid w:val="00252339"/>
    <w:rsid w:val="00261570"/>
    <w:rsid w:val="00273757"/>
    <w:rsid w:val="002813E4"/>
    <w:rsid w:val="002928DD"/>
    <w:rsid w:val="00295B57"/>
    <w:rsid w:val="002A385B"/>
    <w:rsid w:val="002A41EE"/>
    <w:rsid w:val="002A4FAD"/>
    <w:rsid w:val="002A6C0C"/>
    <w:rsid w:val="002B4B6B"/>
    <w:rsid w:val="002D2BB9"/>
    <w:rsid w:val="002F0FDE"/>
    <w:rsid w:val="002F2AA6"/>
    <w:rsid w:val="00300125"/>
    <w:rsid w:val="00321D95"/>
    <w:rsid w:val="00323221"/>
    <w:rsid w:val="00333188"/>
    <w:rsid w:val="00334545"/>
    <w:rsid w:val="00343296"/>
    <w:rsid w:val="00343309"/>
    <w:rsid w:val="00345CC1"/>
    <w:rsid w:val="003466D8"/>
    <w:rsid w:val="0034702F"/>
    <w:rsid w:val="00376A1B"/>
    <w:rsid w:val="00377359"/>
    <w:rsid w:val="00382659"/>
    <w:rsid w:val="003828BA"/>
    <w:rsid w:val="003844B4"/>
    <w:rsid w:val="00397565"/>
    <w:rsid w:val="003A5086"/>
    <w:rsid w:val="003B1C78"/>
    <w:rsid w:val="003B2D8D"/>
    <w:rsid w:val="003B7674"/>
    <w:rsid w:val="003C798E"/>
    <w:rsid w:val="003D0BC2"/>
    <w:rsid w:val="004335E6"/>
    <w:rsid w:val="00434B05"/>
    <w:rsid w:val="00441558"/>
    <w:rsid w:val="0044276C"/>
    <w:rsid w:val="00465A17"/>
    <w:rsid w:val="00473722"/>
    <w:rsid w:val="00474A8B"/>
    <w:rsid w:val="004B129A"/>
    <w:rsid w:val="004B12D8"/>
    <w:rsid w:val="004C35AB"/>
    <w:rsid w:val="004D0374"/>
    <w:rsid w:val="004D4557"/>
    <w:rsid w:val="004D755B"/>
    <w:rsid w:val="0050552A"/>
    <w:rsid w:val="00512C60"/>
    <w:rsid w:val="00520088"/>
    <w:rsid w:val="00523E8C"/>
    <w:rsid w:val="00525560"/>
    <w:rsid w:val="00531E6D"/>
    <w:rsid w:val="00536CC4"/>
    <w:rsid w:val="00537FB0"/>
    <w:rsid w:val="005547DC"/>
    <w:rsid w:val="0056508B"/>
    <w:rsid w:val="00566AA2"/>
    <w:rsid w:val="00567DFD"/>
    <w:rsid w:val="00571C19"/>
    <w:rsid w:val="00573D5F"/>
    <w:rsid w:val="00582AFF"/>
    <w:rsid w:val="005866D9"/>
    <w:rsid w:val="00587594"/>
    <w:rsid w:val="005963CC"/>
    <w:rsid w:val="005D01C3"/>
    <w:rsid w:val="00605230"/>
    <w:rsid w:val="006127D3"/>
    <w:rsid w:val="006422DA"/>
    <w:rsid w:val="00653ACB"/>
    <w:rsid w:val="0065790B"/>
    <w:rsid w:val="00657A7C"/>
    <w:rsid w:val="00663491"/>
    <w:rsid w:val="00682A6E"/>
    <w:rsid w:val="00684E5B"/>
    <w:rsid w:val="00696B00"/>
    <w:rsid w:val="006A020A"/>
    <w:rsid w:val="006B0D8C"/>
    <w:rsid w:val="006B298B"/>
    <w:rsid w:val="006B34D6"/>
    <w:rsid w:val="006B4D5D"/>
    <w:rsid w:val="006D051F"/>
    <w:rsid w:val="006D52D6"/>
    <w:rsid w:val="006F150E"/>
    <w:rsid w:val="00714D36"/>
    <w:rsid w:val="00763864"/>
    <w:rsid w:val="0077055A"/>
    <w:rsid w:val="0078438C"/>
    <w:rsid w:val="007B4E15"/>
    <w:rsid w:val="007B5EB3"/>
    <w:rsid w:val="007B7B9B"/>
    <w:rsid w:val="007D6753"/>
    <w:rsid w:val="007F10D2"/>
    <w:rsid w:val="007F50FA"/>
    <w:rsid w:val="00816C14"/>
    <w:rsid w:val="0081772E"/>
    <w:rsid w:val="0087055B"/>
    <w:rsid w:val="00870C3D"/>
    <w:rsid w:val="00872CDC"/>
    <w:rsid w:val="00880FFD"/>
    <w:rsid w:val="00883DAA"/>
    <w:rsid w:val="0089719C"/>
    <w:rsid w:val="008B2071"/>
    <w:rsid w:val="008B5AEC"/>
    <w:rsid w:val="008B6E20"/>
    <w:rsid w:val="008C16C5"/>
    <w:rsid w:val="008E456C"/>
    <w:rsid w:val="0091113E"/>
    <w:rsid w:val="00920119"/>
    <w:rsid w:val="00930290"/>
    <w:rsid w:val="00943D8B"/>
    <w:rsid w:val="00944949"/>
    <w:rsid w:val="00960EF2"/>
    <w:rsid w:val="00964CD0"/>
    <w:rsid w:val="0098558C"/>
    <w:rsid w:val="009932CC"/>
    <w:rsid w:val="0099494C"/>
    <w:rsid w:val="009B5C78"/>
    <w:rsid w:val="009C63E0"/>
    <w:rsid w:val="009C67C1"/>
    <w:rsid w:val="009D6205"/>
    <w:rsid w:val="009E70D0"/>
    <w:rsid w:val="009F3ACD"/>
    <w:rsid w:val="00A02F09"/>
    <w:rsid w:val="00A13C41"/>
    <w:rsid w:val="00A30E0F"/>
    <w:rsid w:val="00A514B8"/>
    <w:rsid w:val="00A5150B"/>
    <w:rsid w:val="00A556FA"/>
    <w:rsid w:val="00A60F26"/>
    <w:rsid w:val="00A63BB3"/>
    <w:rsid w:val="00A754C6"/>
    <w:rsid w:val="00A75685"/>
    <w:rsid w:val="00A76BAD"/>
    <w:rsid w:val="00A8288F"/>
    <w:rsid w:val="00A868F3"/>
    <w:rsid w:val="00A87E8A"/>
    <w:rsid w:val="00AA3BA7"/>
    <w:rsid w:val="00AC6A43"/>
    <w:rsid w:val="00AD050A"/>
    <w:rsid w:val="00AD183B"/>
    <w:rsid w:val="00AF7EBD"/>
    <w:rsid w:val="00B05370"/>
    <w:rsid w:val="00B17838"/>
    <w:rsid w:val="00B215F5"/>
    <w:rsid w:val="00B43958"/>
    <w:rsid w:val="00B44D41"/>
    <w:rsid w:val="00B51039"/>
    <w:rsid w:val="00B53721"/>
    <w:rsid w:val="00B635AA"/>
    <w:rsid w:val="00B6445A"/>
    <w:rsid w:val="00B7140A"/>
    <w:rsid w:val="00B7241D"/>
    <w:rsid w:val="00B82830"/>
    <w:rsid w:val="00BA0A68"/>
    <w:rsid w:val="00BA77CC"/>
    <w:rsid w:val="00BA7962"/>
    <w:rsid w:val="00BD2187"/>
    <w:rsid w:val="00BD23D2"/>
    <w:rsid w:val="00BD3EE9"/>
    <w:rsid w:val="00BF4EA1"/>
    <w:rsid w:val="00C066E0"/>
    <w:rsid w:val="00C138E4"/>
    <w:rsid w:val="00C20062"/>
    <w:rsid w:val="00C21926"/>
    <w:rsid w:val="00C25447"/>
    <w:rsid w:val="00C33BDC"/>
    <w:rsid w:val="00C36148"/>
    <w:rsid w:val="00C41F19"/>
    <w:rsid w:val="00C55FAA"/>
    <w:rsid w:val="00C6229A"/>
    <w:rsid w:val="00C67438"/>
    <w:rsid w:val="00C75416"/>
    <w:rsid w:val="00C80002"/>
    <w:rsid w:val="00C82D9E"/>
    <w:rsid w:val="00C901D4"/>
    <w:rsid w:val="00C970A6"/>
    <w:rsid w:val="00CB1F46"/>
    <w:rsid w:val="00CC2621"/>
    <w:rsid w:val="00CD35DE"/>
    <w:rsid w:val="00CF116C"/>
    <w:rsid w:val="00CF3B58"/>
    <w:rsid w:val="00CF65A2"/>
    <w:rsid w:val="00D20F8A"/>
    <w:rsid w:val="00D2119F"/>
    <w:rsid w:val="00D363AF"/>
    <w:rsid w:val="00D47ED8"/>
    <w:rsid w:val="00D55D3A"/>
    <w:rsid w:val="00D63A97"/>
    <w:rsid w:val="00D73E94"/>
    <w:rsid w:val="00D82BA5"/>
    <w:rsid w:val="00D96EBD"/>
    <w:rsid w:val="00DC37A0"/>
    <w:rsid w:val="00DC3E3F"/>
    <w:rsid w:val="00DC73F4"/>
    <w:rsid w:val="00DC7B49"/>
    <w:rsid w:val="00DD4498"/>
    <w:rsid w:val="00DE67FC"/>
    <w:rsid w:val="00DE6CE7"/>
    <w:rsid w:val="00DE6F45"/>
    <w:rsid w:val="00DF53E6"/>
    <w:rsid w:val="00DF5816"/>
    <w:rsid w:val="00DF6B2F"/>
    <w:rsid w:val="00DF7284"/>
    <w:rsid w:val="00E0331E"/>
    <w:rsid w:val="00E12A56"/>
    <w:rsid w:val="00E3712C"/>
    <w:rsid w:val="00E4692A"/>
    <w:rsid w:val="00E62E8A"/>
    <w:rsid w:val="00E63074"/>
    <w:rsid w:val="00E66E10"/>
    <w:rsid w:val="00E70DB1"/>
    <w:rsid w:val="00E80FD9"/>
    <w:rsid w:val="00E9382F"/>
    <w:rsid w:val="00EB609A"/>
    <w:rsid w:val="00ED4E35"/>
    <w:rsid w:val="00ED5BC9"/>
    <w:rsid w:val="00ED6389"/>
    <w:rsid w:val="00EE21E4"/>
    <w:rsid w:val="00EE527E"/>
    <w:rsid w:val="00EE7601"/>
    <w:rsid w:val="00F03E54"/>
    <w:rsid w:val="00F05662"/>
    <w:rsid w:val="00F10DB9"/>
    <w:rsid w:val="00F14657"/>
    <w:rsid w:val="00F15A42"/>
    <w:rsid w:val="00F1752A"/>
    <w:rsid w:val="00F22620"/>
    <w:rsid w:val="00F271F4"/>
    <w:rsid w:val="00F32D13"/>
    <w:rsid w:val="00F434B5"/>
    <w:rsid w:val="00F45D5D"/>
    <w:rsid w:val="00F51FA9"/>
    <w:rsid w:val="00F52993"/>
    <w:rsid w:val="00F83557"/>
    <w:rsid w:val="00F84EC5"/>
    <w:rsid w:val="00FA3FDF"/>
    <w:rsid w:val="00FB6226"/>
    <w:rsid w:val="00FB775F"/>
    <w:rsid w:val="00FD26F3"/>
    <w:rsid w:val="00FD3BC4"/>
    <w:rsid w:val="00FD4372"/>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1131"/>
  <w15:docId w15:val="{01015C9E-1B55-48C3-B37F-FD4A716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671D"/>
    <w:pPr>
      <w:spacing w:after="0" w:line="240" w:lineRule="auto"/>
    </w:pPr>
    <w:rPr>
      <w:rFonts w:ascii="Times New Roman" w:hAnsi="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rsid w:val="009C63E0"/>
    <w:pPr>
      <w:outlineLvl w:val="1"/>
    </w:pPr>
    <w:rPr>
      <w:rFonts w:ascii="Arial" w:eastAsia="Times New Roman" w:hAnsi="Arial" w:cs="Times New Roman"/>
      <w:b/>
      <w:sz w:val="36"/>
      <w:szCs w:val="36"/>
    </w:rPr>
  </w:style>
  <w:style w:type="paragraph" w:styleId="Heading3">
    <w:name w:val="heading 3"/>
    <w:basedOn w:val="Normal"/>
    <w:next w:val="Normal"/>
    <w:rsid w:val="009C63E0"/>
    <w:pPr>
      <w:outlineLvl w:val="2"/>
    </w:pPr>
    <w:rPr>
      <w:rFonts w:ascii="Arial" w:eastAsia="Times New Roman" w:hAnsi="Arial" w:cs="Times New Roman"/>
      <w:b/>
      <w:sz w:val="27"/>
      <w:szCs w:val="27"/>
    </w:rPr>
  </w:style>
  <w:style w:type="paragraph" w:styleId="Heading4">
    <w:name w:val="heading 4"/>
    <w:basedOn w:val="Normal"/>
    <w:next w:val="Normal"/>
    <w:rsid w:val="000D671D"/>
    <w:pPr>
      <w:numPr>
        <w:numId w:val="4"/>
      </w:numPr>
      <w:spacing w:before="240" w:after="240"/>
      <w:outlineLvl w:val="3"/>
    </w:pPr>
    <w:rPr>
      <w:rFonts w:ascii="Arial" w:eastAsia="Times New Roman" w:hAnsi="Arial" w:cs="Times New Roman"/>
      <w:b/>
      <w:sz w:val="24"/>
      <w:szCs w:val="24"/>
    </w:rPr>
  </w:style>
  <w:style w:type="paragraph" w:styleId="Heading5">
    <w:name w:val="heading 5"/>
    <w:basedOn w:val="Normal"/>
    <w:next w:val="Normal"/>
    <w:rsid w:val="00816C14"/>
    <w:pPr>
      <w:numPr>
        <w:numId w:val="2"/>
      </w:numPr>
      <w:spacing w:before="120" w:after="120"/>
      <w:outlineLvl w:val="4"/>
    </w:pPr>
    <w:rPr>
      <w:rFonts w:ascii="Arial" w:eastAsia="Times New Roman" w:hAnsi="Arial" w:cs="Times New Roman"/>
      <w:b/>
      <w:sz w:val="24"/>
      <w:szCs w:val="20"/>
    </w:rPr>
  </w:style>
  <w:style w:type="paragraph" w:styleId="Heading6">
    <w:name w:val="heading 6"/>
    <w:basedOn w:val="Normal"/>
    <w:next w:val="Normal"/>
    <w:rsid w:val="004B12D8"/>
    <w:pPr>
      <w:numPr>
        <w:numId w:val="3"/>
      </w:numPr>
      <w:spacing w:before="120" w:after="120"/>
      <w:outlineLvl w:val="5"/>
    </w:pPr>
    <w:rPr>
      <w:rFonts w:ascii="Arial" w:eastAsia="Times New Roman" w:hAnsi="Arial" w:cs="Times New Roman"/>
      <w:b/>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00125"/>
    <w:rPr>
      <w:rFonts w:ascii="Tahoma" w:hAnsi="Tahoma" w:cs="Tahoma"/>
      <w:sz w:val="16"/>
      <w:szCs w:val="16"/>
    </w:rPr>
  </w:style>
  <w:style w:type="character" w:customStyle="1" w:styleId="BalloonTextChar">
    <w:name w:val="Balloon Text Char"/>
    <w:basedOn w:val="DefaultParagraphFont"/>
    <w:link w:val="BalloonText"/>
    <w:uiPriority w:val="99"/>
    <w:semiHidden/>
    <w:rsid w:val="00300125"/>
    <w:rPr>
      <w:rFonts w:ascii="Tahoma" w:hAnsi="Tahoma" w:cs="Tahoma"/>
      <w:sz w:val="16"/>
      <w:szCs w:val="16"/>
    </w:rPr>
  </w:style>
  <w:style w:type="paragraph" w:styleId="Revision">
    <w:name w:val="Revision"/>
    <w:hidden/>
    <w:uiPriority w:val="99"/>
    <w:semiHidden/>
    <w:rsid w:val="00AA3BA7"/>
    <w:pPr>
      <w:spacing w:after="0" w:line="240" w:lineRule="auto"/>
    </w:pPr>
  </w:style>
  <w:style w:type="character" w:customStyle="1" w:styleId="il">
    <w:name w:val="il"/>
    <w:basedOn w:val="DefaultParagraphFont"/>
    <w:rsid w:val="00CF65A2"/>
  </w:style>
  <w:style w:type="paragraph" w:styleId="Caption">
    <w:name w:val="caption"/>
    <w:basedOn w:val="Normal"/>
    <w:next w:val="Normal"/>
    <w:uiPriority w:val="35"/>
    <w:unhideWhenUsed/>
    <w:qFormat/>
    <w:rsid w:val="00E12A56"/>
    <w:rPr>
      <w:i/>
      <w:iCs/>
      <w:color w:val="1F497D" w:themeColor="text2"/>
      <w:sz w:val="18"/>
      <w:szCs w:val="18"/>
    </w:rPr>
  </w:style>
  <w:style w:type="character" w:styleId="BookTitle">
    <w:name w:val="Book Title"/>
    <w:basedOn w:val="DefaultParagraphFont"/>
    <w:uiPriority w:val="33"/>
    <w:qFormat/>
    <w:rsid w:val="007F10D2"/>
    <w:rPr>
      <w:b/>
      <w:bCs/>
      <w:smallCaps/>
      <w:spacing w:val="5"/>
    </w:rPr>
  </w:style>
  <w:style w:type="paragraph" w:styleId="ListParagraph">
    <w:name w:val="List Paragraph"/>
    <w:basedOn w:val="Normal"/>
    <w:uiPriority w:val="34"/>
    <w:qFormat/>
    <w:rsid w:val="00273757"/>
    <w:pPr>
      <w:ind w:left="720"/>
      <w:contextualSpacing/>
    </w:pPr>
  </w:style>
  <w:style w:type="paragraph" w:styleId="TOCHeading">
    <w:name w:val="TOC Heading"/>
    <w:basedOn w:val="Heading1"/>
    <w:next w:val="Normal"/>
    <w:uiPriority w:val="39"/>
    <w:unhideWhenUsed/>
    <w:qFormat/>
    <w:rsid w:val="00BA77C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A77CC"/>
    <w:pPr>
      <w:spacing w:after="100"/>
      <w:ind w:left="220"/>
    </w:pPr>
  </w:style>
  <w:style w:type="paragraph" w:styleId="TOC3">
    <w:name w:val="toc 3"/>
    <w:basedOn w:val="Normal"/>
    <w:next w:val="Normal"/>
    <w:autoRedefine/>
    <w:uiPriority w:val="39"/>
    <w:unhideWhenUsed/>
    <w:rsid w:val="00BA77CC"/>
    <w:pPr>
      <w:spacing w:after="100"/>
      <w:ind w:left="440"/>
    </w:pPr>
  </w:style>
  <w:style w:type="character" w:styleId="Hyperlink">
    <w:name w:val="Hyperlink"/>
    <w:basedOn w:val="DefaultParagraphFont"/>
    <w:uiPriority w:val="99"/>
    <w:unhideWhenUsed/>
    <w:rsid w:val="00BA77CC"/>
    <w:rPr>
      <w:color w:val="0000FF" w:themeColor="hyperlink"/>
      <w:u w:val="single"/>
    </w:rPr>
  </w:style>
  <w:style w:type="paragraph" w:styleId="TOC1">
    <w:name w:val="toc 1"/>
    <w:basedOn w:val="Normal"/>
    <w:next w:val="Normal"/>
    <w:autoRedefine/>
    <w:uiPriority w:val="39"/>
    <w:unhideWhenUsed/>
    <w:rsid w:val="00BA77CC"/>
    <w:pPr>
      <w:spacing w:after="100" w:line="259" w:lineRule="auto"/>
    </w:pPr>
    <w:rPr>
      <w:rFonts w:asciiTheme="minorHAnsi" w:eastAsiaTheme="minorEastAsia" w:hAnsiTheme="minorHAnsi" w:cs="Times New Roman"/>
    </w:rPr>
  </w:style>
  <w:style w:type="paragraph" w:styleId="TOC4">
    <w:name w:val="toc 4"/>
    <w:basedOn w:val="Normal"/>
    <w:next w:val="Normal"/>
    <w:autoRedefine/>
    <w:uiPriority w:val="39"/>
    <w:unhideWhenUsed/>
    <w:rsid w:val="00BA77CC"/>
    <w:pPr>
      <w:spacing w:after="100"/>
      <w:ind w:left="660"/>
    </w:pPr>
  </w:style>
  <w:style w:type="paragraph" w:styleId="TOC5">
    <w:name w:val="toc 5"/>
    <w:basedOn w:val="Normal"/>
    <w:next w:val="Normal"/>
    <w:autoRedefine/>
    <w:uiPriority w:val="39"/>
    <w:unhideWhenUsed/>
    <w:rsid w:val="00BA77CC"/>
    <w:pPr>
      <w:spacing w:after="100"/>
      <w:ind w:left="880"/>
    </w:pPr>
  </w:style>
  <w:style w:type="paragraph" w:styleId="TOC6">
    <w:name w:val="toc 6"/>
    <w:basedOn w:val="Normal"/>
    <w:next w:val="Normal"/>
    <w:autoRedefine/>
    <w:uiPriority w:val="39"/>
    <w:unhideWhenUsed/>
    <w:rsid w:val="00BA77CC"/>
    <w:pPr>
      <w:spacing w:after="100"/>
      <w:ind w:left="1100"/>
    </w:pPr>
  </w:style>
  <w:style w:type="table" w:styleId="TableGrid">
    <w:name w:val="Table Grid"/>
    <w:basedOn w:val="TableNormal"/>
    <w:uiPriority w:val="59"/>
    <w:rsid w:val="006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FFD"/>
    <w:pPr>
      <w:autoSpaceDE w:val="0"/>
      <w:autoSpaceDN w:val="0"/>
      <w:adjustRightInd w:val="0"/>
      <w:spacing w:after="0" w:line="240" w:lineRule="auto"/>
    </w:pPr>
    <w:rPr>
      <w:rFonts w:eastAsia="SimSun"/>
      <w:color w:val="000000"/>
      <w:sz w:val="24"/>
      <w:szCs w:val="24"/>
    </w:rPr>
  </w:style>
  <w:style w:type="paragraph" w:styleId="FootnoteText">
    <w:name w:val="footnote text"/>
    <w:basedOn w:val="Normal"/>
    <w:link w:val="FootnoteTextChar"/>
    <w:uiPriority w:val="99"/>
    <w:semiHidden/>
    <w:unhideWhenUsed/>
    <w:rsid w:val="00964CD0"/>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semiHidden/>
    <w:rsid w:val="00964CD0"/>
    <w:rPr>
      <w:rFonts w:asciiTheme="minorHAnsi" w:eastAsiaTheme="minorEastAsia" w:hAnsiTheme="minorHAnsi" w:cs="Times New Roman"/>
      <w:sz w:val="20"/>
      <w:szCs w:val="20"/>
    </w:rPr>
  </w:style>
  <w:style w:type="character" w:styleId="FootnoteReference">
    <w:name w:val="footnote reference"/>
    <w:basedOn w:val="DefaultParagraphFont"/>
    <w:uiPriority w:val="99"/>
    <w:semiHidden/>
    <w:unhideWhenUsed/>
    <w:rsid w:val="00964CD0"/>
    <w:rPr>
      <w:vertAlign w:val="superscript"/>
    </w:rPr>
  </w:style>
  <w:style w:type="paragraph" w:styleId="Header">
    <w:name w:val="header"/>
    <w:basedOn w:val="Normal"/>
    <w:link w:val="HeaderChar"/>
    <w:uiPriority w:val="99"/>
    <w:unhideWhenUsed/>
    <w:rsid w:val="00A02F09"/>
    <w:pPr>
      <w:tabs>
        <w:tab w:val="center" w:pos="4680"/>
        <w:tab w:val="right" w:pos="9360"/>
      </w:tabs>
    </w:pPr>
  </w:style>
  <w:style w:type="character" w:customStyle="1" w:styleId="HeaderChar">
    <w:name w:val="Header Char"/>
    <w:basedOn w:val="DefaultParagraphFont"/>
    <w:link w:val="Header"/>
    <w:uiPriority w:val="99"/>
    <w:rsid w:val="00A02F09"/>
    <w:rPr>
      <w:rFonts w:ascii="Times New Roman" w:hAnsi="Times New Roman"/>
    </w:rPr>
  </w:style>
  <w:style w:type="paragraph" w:styleId="Footer">
    <w:name w:val="footer"/>
    <w:basedOn w:val="Normal"/>
    <w:link w:val="FooterChar"/>
    <w:uiPriority w:val="99"/>
    <w:unhideWhenUsed/>
    <w:rsid w:val="00A02F09"/>
    <w:pPr>
      <w:tabs>
        <w:tab w:val="center" w:pos="4680"/>
        <w:tab w:val="right" w:pos="9360"/>
      </w:tabs>
    </w:pPr>
  </w:style>
  <w:style w:type="character" w:customStyle="1" w:styleId="FooterChar">
    <w:name w:val="Footer Char"/>
    <w:basedOn w:val="DefaultParagraphFont"/>
    <w:link w:val="Footer"/>
    <w:uiPriority w:val="99"/>
    <w:rsid w:val="00A02F09"/>
    <w:rPr>
      <w:rFonts w:ascii="Times New Roman" w:hAnsi="Times New Roman"/>
    </w:rPr>
  </w:style>
  <w:style w:type="character" w:styleId="CommentReference">
    <w:name w:val="annotation reference"/>
    <w:basedOn w:val="DefaultParagraphFont"/>
    <w:uiPriority w:val="99"/>
    <w:semiHidden/>
    <w:unhideWhenUsed/>
    <w:rsid w:val="00343309"/>
    <w:rPr>
      <w:sz w:val="16"/>
      <w:szCs w:val="16"/>
    </w:rPr>
  </w:style>
  <w:style w:type="paragraph" w:styleId="CommentText">
    <w:name w:val="annotation text"/>
    <w:basedOn w:val="Normal"/>
    <w:link w:val="CommentTextChar"/>
    <w:uiPriority w:val="99"/>
    <w:semiHidden/>
    <w:unhideWhenUsed/>
    <w:rsid w:val="00343309"/>
    <w:rPr>
      <w:sz w:val="20"/>
      <w:szCs w:val="20"/>
    </w:rPr>
  </w:style>
  <w:style w:type="character" w:customStyle="1" w:styleId="CommentTextChar">
    <w:name w:val="Comment Text Char"/>
    <w:basedOn w:val="DefaultParagraphFont"/>
    <w:link w:val="CommentText"/>
    <w:uiPriority w:val="99"/>
    <w:semiHidden/>
    <w:rsid w:val="003433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3309"/>
    <w:rPr>
      <w:b/>
      <w:bCs/>
    </w:rPr>
  </w:style>
  <w:style w:type="character" w:customStyle="1" w:styleId="CommentSubjectChar">
    <w:name w:val="Comment Subject Char"/>
    <w:basedOn w:val="CommentTextChar"/>
    <w:link w:val="CommentSubject"/>
    <w:uiPriority w:val="99"/>
    <w:semiHidden/>
    <w:rsid w:val="003433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0741">
      <w:bodyDiv w:val="1"/>
      <w:marLeft w:val="0"/>
      <w:marRight w:val="0"/>
      <w:marTop w:val="0"/>
      <w:marBottom w:val="0"/>
      <w:divBdr>
        <w:top w:val="none" w:sz="0" w:space="0" w:color="auto"/>
        <w:left w:val="none" w:sz="0" w:space="0" w:color="auto"/>
        <w:bottom w:val="none" w:sz="0" w:space="0" w:color="auto"/>
        <w:right w:val="none" w:sz="0" w:space="0" w:color="auto"/>
      </w:divBdr>
    </w:div>
    <w:div w:id="1284265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3129-09B4-42C8-A6B6-46D8E8A9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Verschoor</dc:creator>
  <cp:lastModifiedBy>Becky Close</cp:lastModifiedBy>
  <cp:revision>21</cp:revision>
  <cp:lastPrinted>2019-09-05T21:05:00Z</cp:lastPrinted>
  <dcterms:created xsi:type="dcterms:W3CDTF">2020-06-11T14:25:00Z</dcterms:created>
  <dcterms:modified xsi:type="dcterms:W3CDTF">2020-06-11T21:27:00Z</dcterms:modified>
</cp:coreProperties>
</file>